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B11" w:rsidRPr="00433F99" w:rsidRDefault="004B7644" w:rsidP="00433F99">
      <w:pPr>
        <w:jc w:val="both"/>
        <w:rPr>
          <w:rFonts w:asciiTheme="majorBidi" w:hAnsiTheme="majorBidi" w:cstheme="majorBidi"/>
          <w:b/>
          <w:bCs/>
          <w:sz w:val="28"/>
          <w:szCs w:val="28"/>
        </w:rPr>
      </w:pPr>
      <w:bookmarkStart w:id="0" w:name="_GoBack"/>
      <w:bookmarkEnd w:id="0"/>
      <w:r w:rsidRPr="00433F99">
        <w:rPr>
          <w:rFonts w:asciiTheme="majorBidi" w:hAnsiTheme="majorBidi" w:cstheme="majorBidi"/>
          <w:b/>
          <w:bCs/>
          <w:sz w:val="28"/>
          <w:szCs w:val="28"/>
        </w:rPr>
        <w:t>INTRODUCTION</w:t>
      </w:r>
    </w:p>
    <w:p w:rsidR="00575CEF" w:rsidRPr="00433F99" w:rsidRDefault="00575CEF" w:rsidP="008B5A06">
      <w:pPr>
        <w:spacing w:line="360" w:lineRule="auto"/>
        <w:ind w:firstLine="720"/>
        <w:jc w:val="both"/>
        <w:rPr>
          <w:rFonts w:asciiTheme="majorBidi" w:hAnsiTheme="majorBidi" w:cstheme="majorBidi"/>
          <w:sz w:val="28"/>
          <w:szCs w:val="28"/>
        </w:rPr>
      </w:pPr>
      <w:r w:rsidRPr="00433F99">
        <w:rPr>
          <w:rFonts w:asciiTheme="majorBidi" w:hAnsiTheme="majorBidi" w:cstheme="majorBidi"/>
          <w:sz w:val="28"/>
          <w:szCs w:val="28"/>
        </w:rPr>
        <w:t>Around the world, implementation of the modern technology in schools and education systems becomes greatly common. Implementation of Information and Communication Technology (ICT) is perceived as a gateway to rise educational standards (Noor-</w:t>
      </w:r>
      <w:proofErr w:type="spellStart"/>
      <w:r w:rsidRPr="00433F99">
        <w:rPr>
          <w:rFonts w:asciiTheme="majorBidi" w:hAnsiTheme="majorBidi" w:cstheme="majorBidi"/>
          <w:sz w:val="28"/>
          <w:szCs w:val="28"/>
        </w:rPr>
        <w:t>Ul</w:t>
      </w:r>
      <w:proofErr w:type="spellEnd"/>
      <w:r w:rsidRPr="00433F99">
        <w:rPr>
          <w:rFonts w:asciiTheme="majorBidi" w:hAnsiTheme="majorBidi" w:cstheme="majorBidi"/>
          <w:sz w:val="28"/>
          <w:szCs w:val="28"/>
        </w:rPr>
        <w:t xml:space="preserve">-Amin, 2013). Use of ICT tools can positively affect the economic development. A fact that </w:t>
      </w:r>
      <w:r w:rsidR="00C72079" w:rsidRPr="00433F99">
        <w:rPr>
          <w:rFonts w:asciiTheme="majorBidi" w:hAnsiTheme="majorBidi" w:cstheme="majorBidi"/>
          <w:sz w:val="28"/>
          <w:szCs w:val="28"/>
        </w:rPr>
        <w:t xml:space="preserve">is </w:t>
      </w:r>
      <w:r w:rsidRPr="00433F99">
        <w:rPr>
          <w:rFonts w:asciiTheme="majorBidi" w:hAnsiTheme="majorBidi" w:cstheme="majorBidi"/>
          <w:sz w:val="28"/>
          <w:szCs w:val="28"/>
        </w:rPr>
        <w:t>recognized by both, the developed and the developing countries</w:t>
      </w:r>
      <w:r w:rsidR="00C72079" w:rsidRPr="00433F99">
        <w:rPr>
          <w:rFonts w:asciiTheme="majorBidi" w:hAnsiTheme="majorBidi" w:cstheme="majorBidi"/>
          <w:sz w:val="28"/>
          <w:szCs w:val="28"/>
        </w:rPr>
        <w:t>. States such as US and Australia spend greatly on that. US, for example, spends greater than $10 billion (</w:t>
      </w:r>
      <w:proofErr w:type="spellStart"/>
      <w:r w:rsidR="00C72079" w:rsidRPr="00433F99">
        <w:rPr>
          <w:rFonts w:asciiTheme="majorBidi" w:hAnsiTheme="majorBidi" w:cstheme="majorBidi"/>
          <w:sz w:val="28"/>
          <w:szCs w:val="28"/>
        </w:rPr>
        <w:t>Brunk</w:t>
      </w:r>
      <w:proofErr w:type="spellEnd"/>
      <w:r w:rsidR="00C72079" w:rsidRPr="00433F99">
        <w:rPr>
          <w:rFonts w:asciiTheme="majorBidi" w:hAnsiTheme="majorBidi" w:cstheme="majorBidi"/>
          <w:sz w:val="28"/>
          <w:szCs w:val="28"/>
        </w:rPr>
        <w:t>, 2008), while Australia spends AUD$8 billion (Lane, 2012), annually.</w:t>
      </w:r>
    </w:p>
    <w:p w:rsidR="00C45BF0" w:rsidRPr="00433F99" w:rsidRDefault="00C45BF0" w:rsidP="008B5A06">
      <w:pPr>
        <w:spacing w:line="360" w:lineRule="auto"/>
        <w:ind w:firstLine="720"/>
        <w:jc w:val="both"/>
        <w:rPr>
          <w:rFonts w:asciiTheme="majorBidi" w:hAnsiTheme="majorBidi" w:cstheme="majorBidi"/>
          <w:sz w:val="28"/>
          <w:szCs w:val="28"/>
        </w:rPr>
      </w:pPr>
      <w:r w:rsidRPr="00433F99">
        <w:rPr>
          <w:rFonts w:asciiTheme="majorBidi" w:hAnsiTheme="majorBidi" w:cstheme="majorBidi"/>
          <w:sz w:val="28"/>
          <w:szCs w:val="28"/>
        </w:rPr>
        <w:t xml:space="preserve">Developing countries also recognized the importance of ICT tools. India, for example, has integrated the ICT tools </w:t>
      </w:r>
      <w:r w:rsidR="00584FAF" w:rsidRPr="00433F99">
        <w:rPr>
          <w:rFonts w:asciiTheme="majorBidi" w:hAnsiTheme="majorBidi" w:cstheme="majorBidi"/>
          <w:sz w:val="28"/>
          <w:szCs w:val="28"/>
        </w:rPr>
        <w:t>in tertiary and vocational education systems (</w:t>
      </w:r>
      <w:proofErr w:type="spellStart"/>
      <w:r w:rsidR="00584FAF" w:rsidRPr="00433F99">
        <w:rPr>
          <w:rFonts w:asciiTheme="majorBidi" w:hAnsiTheme="majorBidi" w:cstheme="majorBidi"/>
          <w:sz w:val="28"/>
          <w:szCs w:val="28"/>
        </w:rPr>
        <w:t>Halewood</w:t>
      </w:r>
      <w:proofErr w:type="spellEnd"/>
      <w:r w:rsidR="00584FAF" w:rsidRPr="00433F99">
        <w:rPr>
          <w:rFonts w:asciiTheme="majorBidi" w:hAnsiTheme="majorBidi" w:cstheme="majorBidi"/>
          <w:sz w:val="28"/>
          <w:szCs w:val="28"/>
        </w:rPr>
        <w:t xml:space="preserve"> &amp; Kenny, 2008). Uganda is another developing country that recognized the role of ICT tools integration to boost its economy and education (</w:t>
      </w:r>
      <w:proofErr w:type="spellStart"/>
      <w:r w:rsidR="00584FAF" w:rsidRPr="00433F99">
        <w:rPr>
          <w:rFonts w:asciiTheme="majorBidi" w:hAnsiTheme="majorBidi" w:cstheme="majorBidi"/>
          <w:sz w:val="28"/>
          <w:szCs w:val="28"/>
        </w:rPr>
        <w:t>Ssewanyana</w:t>
      </w:r>
      <w:proofErr w:type="spellEnd"/>
      <w:r w:rsidR="00584FAF" w:rsidRPr="00433F99">
        <w:rPr>
          <w:rFonts w:asciiTheme="majorBidi" w:hAnsiTheme="majorBidi" w:cstheme="majorBidi"/>
          <w:sz w:val="28"/>
          <w:szCs w:val="28"/>
        </w:rPr>
        <w:t xml:space="preserve"> &amp; </w:t>
      </w:r>
      <w:proofErr w:type="spellStart"/>
      <w:r w:rsidR="00584FAF" w:rsidRPr="00433F99">
        <w:rPr>
          <w:rFonts w:asciiTheme="majorBidi" w:hAnsiTheme="majorBidi" w:cstheme="majorBidi"/>
          <w:sz w:val="28"/>
          <w:szCs w:val="28"/>
        </w:rPr>
        <w:t>Busler</w:t>
      </w:r>
      <w:proofErr w:type="spellEnd"/>
      <w:r w:rsidR="00584FAF" w:rsidRPr="00433F99">
        <w:rPr>
          <w:rFonts w:asciiTheme="majorBidi" w:hAnsiTheme="majorBidi" w:cstheme="majorBidi"/>
          <w:sz w:val="28"/>
          <w:szCs w:val="28"/>
        </w:rPr>
        <w:t>, 2007).</w:t>
      </w:r>
    </w:p>
    <w:p w:rsidR="002270FD" w:rsidRPr="00433F99" w:rsidRDefault="00584FAF" w:rsidP="008B5A06">
      <w:pPr>
        <w:spacing w:line="360" w:lineRule="auto"/>
        <w:ind w:firstLine="720"/>
        <w:jc w:val="both"/>
        <w:rPr>
          <w:rFonts w:asciiTheme="majorBidi" w:hAnsiTheme="majorBidi" w:cstheme="majorBidi"/>
          <w:sz w:val="28"/>
          <w:szCs w:val="28"/>
        </w:rPr>
      </w:pPr>
      <w:r w:rsidRPr="00433F99">
        <w:rPr>
          <w:rFonts w:asciiTheme="majorBidi" w:hAnsiTheme="majorBidi" w:cstheme="majorBidi"/>
          <w:sz w:val="28"/>
          <w:szCs w:val="28"/>
        </w:rPr>
        <w:t>Saudi Arabia is no an exception. The Saudi Arabia government has invested in 2007 about £2 billion to reform and improve education using modern technologies. Other steps that have been taken to achieve that goal is public education and training of educators to ensure sufficient use of modern technology in education (</w:t>
      </w:r>
      <w:proofErr w:type="spellStart"/>
      <w:r w:rsidRPr="00433F99">
        <w:rPr>
          <w:rFonts w:asciiTheme="majorBidi" w:hAnsiTheme="majorBidi" w:cstheme="majorBidi"/>
          <w:sz w:val="28"/>
          <w:szCs w:val="28"/>
        </w:rPr>
        <w:t>Tatweer</w:t>
      </w:r>
      <w:proofErr w:type="spellEnd"/>
      <w:r w:rsidRPr="00433F99">
        <w:rPr>
          <w:rFonts w:asciiTheme="majorBidi" w:hAnsiTheme="majorBidi" w:cstheme="majorBidi"/>
          <w:sz w:val="28"/>
          <w:szCs w:val="28"/>
        </w:rPr>
        <w:t>, 2015).</w:t>
      </w:r>
      <w:r w:rsidR="002270FD" w:rsidRPr="00433F99">
        <w:rPr>
          <w:rFonts w:asciiTheme="majorBidi" w:hAnsiTheme="majorBidi" w:cstheme="majorBidi"/>
          <w:sz w:val="28"/>
          <w:szCs w:val="28"/>
        </w:rPr>
        <w:t xml:space="preserve"> There is massive funding pumped to improve the act of implementing technology in the school and ICT facilities. Furthermore, about £36 billion (25%) of the Saudi Arabia government budget was dedicated to the educational sector in 2015 </w:t>
      </w:r>
      <w:r w:rsidR="006751ED" w:rsidRPr="00433F99">
        <w:rPr>
          <w:rFonts w:asciiTheme="majorBidi" w:hAnsiTheme="majorBidi" w:cstheme="majorBidi"/>
          <w:sz w:val="28"/>
          <w:szCs w:val="28"/>
        </w:rPr>
        <w:t>(Ministry of Finance, 2015</w:t>
      </w:r>
      <w:r w:rsidR="002270FD" w:rsidRPr="00433F99">
        <w:rPr>
          <w:rFonts w:asciiTheme="majorBidi" w:hAnsiTheme="majorBidi" w:cstheme="majorBidi"/>
          <w:sz w:val="28"/>
          <w:szCs w:val="28"/>
        </w:rPr>
        <w:t>).</w:t>
      </w:r>
    </w:p>
    <w:p w:rsidR="00B11B11" w:rsidRPr="009F2BE9" w:rsidRDefault="008F2EAB" w:rsidP="008F2EAB">
      <w:pPr>
        <w:spacing w:line="360" w:lineRule="auto"/>
        <w:ind w:firstLine="720"/>
        <w:jc w:val="both"/>
        <w:rPr>
          <w:rFonts w:asciiTheme="majorBidi" w:hAnsiTheme="majorBidi" w:cstheme="majorBidi"/>
          <w:color w:val="FF0000"/>
          <w:sz w:val="28"/>
          <w:szCs w:val="28"/>
        </w:rPr>
      </w:pPr>
      <w:r w:rsidRPr="009F2BE9">
        <w:rPr>
          <w:rFonts w:asciiTheme="majorBidi" w:hAnsiTheme="majorBidi" w:cstheme="majorBidi"/>
          <w:color w:val="FF0000"/>
          <w:sz w:val="28"/>
          <w:szCs w:val="28"/>
        </w:rPr>
        <w:t>According to PISA 2018 data (T), is there a difference the availability of ICT resources to students by 15-year old students (P) in Qatar, Jordan, Saudi Arabia, and the UAE (C)?</w:t>
      </w:r>
      <w:r w:rsidR="006973CA" w:rsidRPr="009F2BE9">
        <w:rPr>
          <w:rFonts w:asciiTheme="majorBidi" w:hAnsiTheme="majorBidi" w:cstheme="majorBidi"/>
          <w:color w:val="FF0000"/>
          <w:sz w:val="28"/>
          <w:szCs w:val="28"/>
        </w:rPr>
        <w:t xml:space="preserve"> </w:t>
      </w:r>
    </w:p>
    <w:p w:rsidR="0067089E" w:rsidRPr="0067089E" w:rsidRDefault="0067089E" w:rsidP="0067089E">
      <w:pPr>
        <w:spacing w:line="360" w:lineRule="auto"/>
        <w:jc w:val="both"/>
        <w:rPr>
          <w:rFonts w:ascii="Times New Roman" w:eastAsia="Calibri" w:hAnsi="Times New Roman" w:cs="Times New Roman"/>
          <w:b/>
          <w:bCs/>
          <w:sz w:val="28"/>
          <w:szCs w:val="28"/>
        </w:rPr>
      </w:pPr>
      <w:r w:rsidRPr="0067089E">
        <w:rPr>
          <w:rFonts w:ascii="Times New Roman" w:eastAsia="Calibri" w:hAnsi="Times New Roman" w:cs="Times New Roman"/>
          <w:b/>
          <w:bCs/>
          <w:sz w:val="28"/>
          <w:szCs w:val="28"/>
        </w:rPr>
        <w:lastRenderedPageBreak/>
        <w:t>METHODOLOGY</w:t>
      </w:r>
    </w:p>
    <w:p w:rsidR="0067089E" w:rsidRDefault="009F2BE9" w:rsidP="001E137F">
      <w:pPr>
        <w:spacing w:line="360" w:lineRule="auto"/>
        <w:jc w:val="both"/>
        <w:rPr>
          <w:rFonts w:ascii="Times New Roman" w:eastAsia="Calibri" w:hAnsi="Times New Roman" w:cs="Times New Roman"/>
          <w:sz w:val="28"/>
          <w:szCs w:val="28"/>
        </w:rPr>
      </w:pPr>
      <w:r>
        <w:rPr>
          <w:rFonts w:ascii="Times New Roman" w:eastAsia="Calibri" w:hAnsi="Times New Roman" w:cs="Times New Roman" w:hint="cs"/>
          <w:sz w:val="28"/>
          <w:szCs w:val="28"/>
          <w:rtl/>
        </w:rPr>
        <w:t xml:space="preserve">           </w:t>
      </w:r>
      <w:r w:rsidR="00220FF3">
        <w:rPr>
          <w:rFonts w:ascii="Times New Roman" w:eastAsia="Calibri" w:hAnsi="Times New Roman" w:cs="Times New Roman"/>
          <w:sz w:val="28"/>
          <w:szCs w:val="28"/>
        </w:rPr>
        <w:t>Data take from PISA 2018 to compare between four countries ( UAE,KSA,JORDEN and QATAR) for availability ICT in schools .</w:t>
      </w:r>
    </w:p>
    <w:p w:rsidR="00220FF3" w:rsidRPr="001E137F" w:rsidRDefault="00220FF3" w:rsidP="00CD094E">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Variables are</w:t>
      </w:r>
      <w:r w:rsidR="00FC2A63">
        <w:rPr>
          <w:rFonts w:ascii="Times New Roman" w:eastAsia="Calibri" w:hAnsi="Times New Roman" w:cs="Times New Roman"/>
          <w:sz w:val="28"/>
          <w:szCs w:val="28"/>
        </w:rPr>
        <w:t xml:space="preserve"> independent ( countries ) and dependent (ICT</w:t>
      </w:r>
      <w:r w:rsidR="00CD094E">
        <w:rPr>
          <w:rFonts w:ascii="Times New Roman" w:eastAsia="Calibri" w:hAnsi="Times New Roman" w:cs="Times New Roman"/>
          <w:sz w:val="28"/>
          <w:szCs w:val="28"/>
        </w:rPr>
        <w:t xml:space="preserve"> resources</w:t>
      </w:r>
      <w:r w:rsidR="00FC2A63">
        <w:rPr>
          <w:rFonts w:ascii="Times New Roman" w:eastAsia="Calibri" w:hAnsi="Times New Roman" w:cs="Times New Roman"/>
          <w:sz w:val="28"/>
          <w:szCs w:val="28"/>
        </w:rPr>
        <w:t xml:space="preserve">) </w:t>
      </w:r>
      <w:r>
        <w:rPr>
          <w:rFonts w:ascii="Times New Roman" w:eastAsia="Calibri" w:hAnsi="Times New Roman" w:cs="Times New Roman"/>
          <w:sz w:val="28"/>
          <w:szCs w:val="28"/>
        </w:rPr>
        <w:t>. we use SPSS program to analysis variance ( ANOVA)</w:t>
      </w:r>
      <w:r w:rsidR="00FC2A63">
        <w:rPr>
          <w:rFonts w:ascii="Times New Roman" w:eastAsia="Calibri" w:hAnsi="Times New Roman" w:cs="Times New Roman"/>
          <w:sz w:val="28"/>
          <w:szCs w:val="28"/>
        </w:rPr>
        <w:t>.</w:t>
      </w:r>
      <w:r w:rsidR="007E7577">
        <w:rPr>
          <w:rFonts w:ascii="Times New Roman" w:eastAsia="Calibri" w:hAnsi="Times New Roman" w:cs="Times New Roman"/>
          <w:sz w:val="28"/>
          <w:szCs w:val="28"/>
        </w:rPr>
        <w:t>and the number</w:t>
      </w:r>
      <w:r w:rsidR="00A04DDD">
        <w:rPr>
          <w:rFonts w:ascii="Times New Roman" w:eastAsia="Calibri" w:hAnsi="Times New Roman" w:cs="Times New Roman"/>
          <w:sz w:val="28"/>
          <w:szCs w:val="28"/>
        </w:rPr>
        <w:t xml:space="preserve"> of sample are </w:t>
      </w:r>
      <w:r w:rsidR="00A04DDD" w:rsidRPr="00A04DDD">
        <w:rPr>
          <w:rFonts w:ascii="Times New Roman" w:eastAsia="Calibri" w:hAnsi="Times New Roman" w:cs="Times New Roman"/>
          <w:sz w:val="28"/>
          <w:szCs w:val="28"/>
        </w:rPr>
        <w:t>526100</w:t>
      </w:r>
    </w:p>
    <w:p w:rsidR="002458F7" w:rsidRPr="00433F99" w:rsidRDefault="002F05BD" w:rsidP="00433F99">
      <w:pPr>
        <w:spacing w:line="360" w:lineRule="auto"/>
        <w:jc w:val="both"/>
        <w:rPr>
          <w:rFonts w:asciiTheme="majorBidi" w:hAnsiTheme="majorBidi" w:cstheme="majorBidi"/>
          <w:b/>
          <w:bCs/>
          <w:sz w:val="28"/>
          <w:szCs w:val="28"/>
        </w:rPr>
      </w:pPr>
      <w:r w:rsidRPr="00433F99">
        <w:rPr>
          <w:rFonts w:asciiTheme="majorBidi" w:hAnsiTheme="majorBidi" w:cstheme="majorBidi"/>
          <w:b/>
          <w:bCs/>
          <w:sz w:val="28"/>
          <w:szCs w:val="28"/>
        </w:rPr>
        <w:t>FINDINGS</w:t>
      </w:r>
    </w:p>
    <w:p w:rsidR="009870C4" w:rsidRDefault="00243807" w:rsidP="00186FEE">
      <w:pPr>
        <w:spacing w:line="360" w:lineRule="auto"/>
        <w:ind w:firstLine="720"/>
        <w:jc w:val="both"/>
        <w:rPr>
          <w:rFonts w:asciiTheme="majorBidi" w:hAnsiTheme="majorBidi" w:cstheme="majorBidi"/>
          <w:sz w:val="28"/>
          <w:szCs w:val="28"/>
        </w:rPr>
      </w:pPr>
      <w:r w:rsidRPr="00433F99">
        <w:rPr>
          <w:rFonts w:asciiTheme="majorBidi" w:hAnsiTheme="majorBidi" w:cstheme="majorBidi"/>
          <w:sz w:val="28"/>
          <w:szCs w:val="28"/>
        </w:rPr>
        <w:t>Descriptive statistics was done. Results are presented in the following table:</w:t>
      </w:r>
    </w:p>
    <w:tbl>
      <w:tblPr>
        <w:tblStyle w:val="a4"/>
        <w:tblW w:w="0" w:type="auto"/>
        <w:jc w:val="center"/>
        <w:tblInd w:w="-1490" w:type="dxa"/>
        <w:tblLook w:val="04A0" w:firstRow="1" w:lastRow="0" w:firstColumn="1" w:lastColumn="0" w:noHBand="0" w:noVBand="1"/>
      </w:tblPr>
      <w:tblGrid>
        <w:gridCol w:w="3003"/>
        <w:gridCol w:w="1655"/>
        <w:gridCol w:w="1765"/>
        <w:gridCol w:w="1922"/>
      </w:tblGrid>
      <w:tr w:rsidR="00D00A0E" w:rsidRPr="00786036" w:rsidTr="003621C4">
        <w:trPr>
          <w:jc w:val="center"/>
        </w:trPr>
        <w:tc>
          <w:tcPr>
            <w:tcW w:w="3003" w:type="dxa"/>
            <w:shd w:val="clear" w:color="auto" w:fill="F4B083" w:themeFill="accent2" w:themeFillTint="99"/>
          </w:tcPr>
          <w:p w:rsidR="00D00A0E" w:rsidRPr="00786036" w:rsidRDefault="00D00A0E" w:rsidP="009B7AF4">
            <w:pPr>
              <w:jc w:val="center"/>
              <w:rPr>
                <w:rFonts w:ascii="Calibri" w:eastAsia="Calibri" w:hAnsi="Calibri" w:cs="Arial"/>
              </w:rPr>
            </w:pPr>
          </w:p>
        </w:tc>
        <w:tc>
          <w:tcPr>
            <w:tcW w:w="1655" w:type="dxa"/>
            <w:shd w:val="clear" w:color="auto" w:fill="F4B083" w:themeFill="accent2" w:themeFillTint="99"/>
          </w:tcPr>
          <w:p w:rsidR="00D00A0E" w:rsidRPr="00786036" w:rsidRDefault="00D00A0E" w:rsidP="009B7AF4">
            <w:pPr>
              <w:jc w:val="center"/>
              <w:rPr>
                <w:rFonts w:ascii="Calibri" w:eastAsia="Calibri" w:hAnsi="Calibri" w:cs="Arial"/>
              </w:rPr>
            </w:pPr>
            <w:r w:rsidRPr="00786036">
              <w:rPr>
                <w:rFonts w:ascii="Calibri" w:eastAsia="Calibri" w:hAnsi="Calibri" w:cs="Arial"/>
              </w:rPr>
              <w:t>N</w:t>
            </w:r>
          </w:p>
        </w:tc>
        <w:tc>
          <w:tcPr>
            <w:tcW w:w="1765" w:type="dxa"/>
            <w:shd w:val="clear" w:color="auto" w:fill="F4B083" w:themeFill="accent2" w:themeFillTint="99"/>
          </w:tcPr>
          <w:p w:rsidR="00D00A0E" w:rsidRPr="00786036" w:rsidRDefault="00D00A0E" w:rsidP="009B7AF4">
            <w:pPr>
              <w:jc w:val="center"/>
              <w:rPr>
                <w:rFonts w:ascii="Calibri" w:eastAsia="Calibri" w:hAnsi="Calibri" w:cs="Arial"/>
              </w:rPr>
            </w:pPr>
            <w:r w:rsidRPr="00786036">
              <w:rPr>
                <w:rFonts w:ascii="Calibri" w:eastAsia="Calibri" w:hAnsi="Calibri" w:cs="Arial"/>
              </w:rPr>
              <w:t>Mean</w:t>
            </w:r>
          </w:p>
        </w:tc>
        <w:tc>
          <w:tcPr>
            <w:tcW w:w="1922" w:type="dxa"/>
            <w:shd w:val="clear" w:color="auto" w:fill="F4B083" w:themeFill="accent2" w:themeFillTint="99"/>
          </w:tcPr>
          <w:p w:rsidR="00D00A0E" w:rsidRPr="00786036" w:rsidRDefault="00D00A0E" w:rsidP="009B7AF4">
            <w:pPr>
              <w:jc w:val="center"/>
              <w:rPr>
                <w:rFonts w:ascii="Calibri" w:eastAsia="Calibri" w:hAnsi="Calibri" w:cs="Arial"/>
              </w:rPr>
            </w:pPr>
            <w:proofErr w:type="spellStart"/>
            <w:r w:rsidRPr="00786036">
              <w:rPr>
                <w:rFonts w:ascii="Calibri" w:eastAsia="Calibri" w:hAnsi="Calibri" w:cs="Arial"/>
              </w:rPr>
              <w:t>Std.Daviation</w:t>
            </w:r>
            <w:proofErr w:type="spellEnd"/>
          </w:p>
        </w:tc>
      </w:tr>
      <w:tr w:rsidR="00D00A0E" w:rsidRPr="00786036" w:rsidTr="003621C4">
        <w:trPr>
          <w:jc w:val="center"/>
        </w:trPr>
        <w:tc>
          <w:tcPr>
            <w:tcW w:w="3003" w:type="dxa"/>
            <w:shd w:val="clear" w:color="auto" w:fill="F4B083" w:themeFill="accent2" w:themeFillTint="99"/>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00000" w:themeColor="text1"/>
                <w:sz w:val="18"/>
                <w:szCs w:val="18"/>
              </w:rPr>
            </w:pPr>
            <w:r w:rsidRPr="00786036">
              <w:rPr>
                <w:rFonts w:ascii="Arial" w:eastAsia="Calibri" w:hAnsi="Arial" w:cs="Arial"/>
                <w:color w:val="000000" w:themeColor="text1"/>
                <w:sz w:val="18"/>
                <w:szCs w:val="18"/>
              </w:rPr>
              <w:t>Jordan</w:t>
            </w:r>
          </w:p>
        </w:tc>
        <w:tc>
          <w:tcPr>
            <w:tcW w:w="165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113756</w:t>
            </w:r>
          </w:p>
        </w:tc>
        <w:tc>
          <w:tcPr>
            <w:tcW w:w="176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-.930403</w:t>
            </w:r>
          </w:p>
        </w:tc>
        <w:tc>
          <w:tcPr>
            <w:tcW w:w="1922"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1.1554732</w:t>
            </w:r>
          </w:p>
        </w:tc>
      </w:tr>
      <w:tr w:rsidR="00D00A0E" w:rsidRPr="00786036" w:rsidTr="003621C4">
        <w:trPr>
          <w:jc w:val="center"/>
        </w:trPr>
        <w:tc>
          <w:tcPr>
            <w:tcW w:w="3003" w:type="dxa"/>
            <w:shd w:val="clear" w:color="auto" w:fill="F4B083" w:themeFill="accent2" w:themeFillTint="99"/>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00000" w:themeColor="text1"/>
                <w:sz w:val="18"/>
                <w:szCs w:val="18"/>
              </w:rPr>
            </w:pPr>
            <w:r w:rsidRPr="00786036">
              <w:rPr>
                <w:rFonts w:ascii="Arial" w:eastAsia="Calibri" w:hAnsi="Arial" w:cs="Arial"/>
                <w:color w:val="000000" w:themeColor="text1"/>
                <w:sz w:val="18"/>
                <w:szCs w:val="18"/>
              </w:rPr>
              <w:t>Qatar</w:t>
            </w:r>
          </w:p>
        </w:tc>
        <w:tc>
          <w:tcPr>
            <w:tcW w:w="165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14734</w:t>
            </w:r>
          </w:p>
        </w:tc>
        <w:tc>
          <w:tcPr>
            <w:tcW w:w="176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.236060</w:t>
            </w:r>
          </w:p>
        </w:tc>
        <w:tc>
          <w:tcPr>
            <w:tcW w:w="1922"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1.2646038</w:t>
            </w:r>
          </w:p>
        </w:tc>
      </w:tr>
      <w:tr w:rsidR="00D00A0E" w:rsidRPr="00786036" w:rsidTr="003621C4">
        <w:trPr>
          <w:jc w:val="center"/>
        </w:trPr>
        <w:tc>
          <w:tcPr>
            <w:tcW w:w="3003" w:type="dxa"/>
            <w:shd w:val="clear" w:color="auto" w:fill="F4B083" w:themeFill="accent2" w:themeFillTint="99"/>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00000" w:themeColor="text1"/>
                <w:sz w:val="18"/>
                <w:szCs w:val="18"/>
              </w:rPr>
            </w:pPr>
            <w:r w:rsidRPr="00786036">
              <w:rPr>
                <w:rFonts w:ascii="Arial" w:eastAsia="Calibri" w:hAnsi="Arial" w:cs="Arial"/>
                <w:color w:val="000000" w:themeColor="text1"/>
                <w:sz w:val="18"/>
                <w:szCs w:val="18"/>
              </w:rPr>
              <w:t>Saudi Arabia</w:t>
            </w:r>
          </w:p>
        </w:tc>
        <w:tc>
          <w:tcPr>
            <w:tcW w:w="165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345006</w:t>
            </w:r>
          </w:p>
        </w:tc>
        <w:tc>
          <w:tcPr>
            <w:tcW w:w="176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-.331930</w:t>
            </w:r>
          </w:p>
        </w:tc>
        <w:tc>
          <w:tcPr>
            <w:tcW w:w="1922"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1.1379609</w:t>
            </w:r>
          </w:p>
        </w:tc>
      </w:tr>
      <w:tr w:rsidR="00D00A0E" w:rsidRPr="00786036" w:rsidTr="003621C4">
        <w:trPr>
          <w:jc w:val="center"/>
        </w:trPr>
        <w:tc>
          <w:tcPr>
            <w:tcW w:w="3003" w:type="dxa"/>
            <w:shd w:val="clear" w:color="auto" w:fill="F4B083" w:themeFill="accent2" w:themeFillTint="99"/>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00000" w:themeColor="text1"/>
                <w:sz w:val="18"/>
                <w:szCs w:val="18"/>
              </w:rPr>
            </w:pPr>
            <w:r w:rsidRPr="00786036">
              <w:rPr>
                <w:rFonts w:ascii="Arial" w:eastAsia="Calibri" w:hAnsi="Arial" w:cs="Arial"/>
                <w:color w:val="000000" w:themeColor="text1"/>
                <w:sz w:val="18"/>
                <w:szCs w:val="18"/>
              </w:rPr>
              <w:t>United Arab Emirates</w:t>
            </w:r>
          </w:p>
        </w:tc>
        <w:tc>
          <w:tcPr>
            <w:tcW w:w="165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52604</w:t>
            </w:r>
          </w:p>
        </w:tc>
        <w:tc>
          <w:tcPr>
            <w:tcW w:w="176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.388006</w:t>
            </w:r>
          </w:p>
        </w:tc>
        <w:tc>
          <w:tcPr>
            <w:tcW w:w="1922"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1.3066641</w:t>
            </w:r>
          </w:p>
        </w:tc>
      </w:tr>
      <w:tr w:rsidR="00D00A0E" w:rsidRPr="00786036" w:rsidTr="003621C4">
        <w:trPr>
          <w:jc w:val="center"/>
        </w:trPr>
        <w:tc>
          <w:tcPr>
            <w:tcW w:w="3003" w:type="dxa"/>
            <w:shd w:val="clear" w:color="auto" w:fill="F4B083" w:themeFill="accent2" w:themeFillTint="99"/>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00000" w:themeColor="text1"/>
                <w:sz w:val="18"/>
                <w:szCs w:val="18"/>
              </w:rPr>
            </w:pPr>
            <w:r w:rsidRPr="00786036">
              <w:rPr>
                <w:rFonts w:ascii="Arial" w:eastAsia="Calibri" w:hAnsi="Arial" w:cs="Arial"/>
                <w:color w:val="000000" w:themeColor="text1"/>
                <w:sz w:val="18"/>
                <w:szCs w:val="18"/>
              </w:rPr>
              <w:t>Total</w:t>
            </w:r>
          </w:p>
        </w:tc>
        <w:tc>
          <w:tcPr>
            <w:tcW w:w="165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526100</w:t>
            </w:r>
          </w:p>
        </w:tc>
        <w:tc>
          <w:tcPr>
            <w:tcW w:w="1765"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-.373442</w:t>
            </w:r>
          </w:p>
        </w:tc>
        <w:tc>
          <w:tcPr>
            <w:tcW w:w="1922" w:type="dxa"/>
          </w:tcPr>
          <w:p w:rsidR="00D00A0E" w:rsidRPr="00786036" w:rsidRDefault="00D00A0E" w:rsidP="009B7AF4">
            <w:pPr>
              <w:autoSpaceDE w:val="0"/>
              <w:autoSpaceDN w:val="0"/>
              <w:adjustRightInd w:val="0"/>
              <w:spacing w:line="320" w:lineRule="atLeast"/>
              <w:ind w:left="60" w:right="60"/>
              <w:jc w:val="center"/>
              <w:rPr>
                <w:rFonts w:ascii="Arial" w:eastAsia="Calibri" w:hAnsi="Arial" w:cs="Arial"/>
                <w:color w:val="010205"/>
                <w:sz w:val="18"/>
                <w:szCs w:val="18"/>
              </w:rPr>
            </w:pPr>
            <w:r w:rsidRPr="00786036">
              <w:rPr>
                <w:rFonts w:ascii="Arial" w:eastAsia="Calibri" w:hAnsi="Arial" w:cs="Arial"/>
                <w:color w:val="010205"/>
                <w:sz w:val="18"/>
                <w:szCs w:val="18"/>
              </w:rPr>
              <w:t>1.2206438</w:t>
            </w:r>
          </w:p>
        </w:tc>
      </w:tr>
    </w:tbl>
    <w:p w:rsidR="009870C4" w:rsidRPr="005473C1" w:rsidRDefault="00786036" w:rsidP="00803B6F">
      <w:pPr>
        <w:spacing w:line="360" w:lineRule="auto"/>
        <w:rPr>
          <w:rFonts w:asciiTheme="majorBidi" w:hAnsiTheme="majorBidi" w:cstheme="majorBidi"/>
          <w:b/>
          <w:bCs/>
          <w:sz w:val="24"/>
          <w:szCs w:val="24"/>
        </w:rPr>
      </w:pPr>
      <w:r>
        <w:rPr>
          <w:rFonts w:asciiTheme="majorBidi" w:hAnsiTheme="majorBidi" w:cstheme="majorBidi"/>
          <w:sz w:val="28"/>
          <w:szCs w:val="28"/>
        </w:rPr>
        <w:t xml:space="preserve">             </w:t>
      </w:r>
      <w:r w:rsidR="00077C52" w:rsidRPr="005473C1">
        <w:rPr>
          <w:rFonts w:asciiTheme="majorBidi" w:hAnsiTheme="majorBidi" w:cstheme="majorBidi"/>
          <w:b/>
          <w:bCs/>
          <w:sz w:val="24"/>
          <w:szCs w:val="24"/>
        </w:rPr>
        <w:t xml:space="preserve">Table 1: </w:t>
      </w:r>
      <w:r w:rsidR="00803B6F">
        <w:rPr>
          <w:rFonts w:asciiTheme="majorBidi" w:hAnsiTheme="majorBidi" w:cstheme="majorBidi"/>
          <w:b/>
          <w:bCs/>
          <w:sz w:val="24"/>
          <w:szCs w:val="24"/>
        </w:rPr>
        <w:t xml:space="preserve">means and standard </w:t>
      </w:r>
      <w:proofErr w:type="spellStart"/>
      <w:r w:rsidR="00803B6F">
        <w:rPr>
          <w:rFonts w:asciiTheme="majorBidi" w:hAnsiTheme="majorBidi" w:cstheme="majorBidi"/>
          <w:b/>
          <w:bCs/>
          <w:sz w:val="24"/>
          <w:szCs w:val="24"/>
        </w:rPr>
        <w:t>daviations</w:t>
      </w:r>
      <w:proofErr w:type="spellEnd"/>
      <w:r w:rsidR="00803B6F">
        <w:rPr>
          <w:rFonts w:asciiTheme="majorBidi" w:hAnsiTheme="majorBidi" w:cstheme="majorBidi"/>
          <w:b/>
          <w:bCs/>
          <w:sz w:val="24"/>
          <w:szCs w:val="24"/>
        </w:rPr>
        <w:t xml:space="preserve"> for ICT resources</w:t>
      </w:r>
      <w:r w:rsidR="003F0EF0">
        <w:rPr>
          <w:rFonts w:asciiTheme="majorBidi" w:hAnsiTheme="majorBidi" w:cstheme="majorBidi"/>
          <w:b/>
          <w:bCs/>
          <w:sz w:val="24"/>
          <w:szCs w:val="24"/>
        </w:rPr>
        <w:t xml:space="preserve"> (WLEs)</w:t>
      </w:r>
      <w:r w:rsidR="00077C52" w:rsidRPr="005473C1">
        <w:rPr>
          <w:rFonts w:asciiTheme="majorBidi" w:hAnsiTheme="majorBidi" w:cstheme="majorBidi"/>
          <w:b/>
          <w:bCs/>
          <w:sz w:val="24"/>
          <w:szCs w:val="24"/>
        </w:rPr>
        <w:t xml:space="preserve"> </w:t>
      </w:r>
    </w:p>
    <w:p w:rsidR="00F11EB2" w:rsidRDefault="00F11EB2" w:rsidP="007153B7">
      <w:pPr>
        <w:spacing w:line="360" w:lineRule="auto"/>
        <w:ind w:firstLine="720"/>
        <w:jc w:val="both"/>
        <w:rPr>
          <w:rFonts w:asciiTheme="majorBidi" w:hAnsiTheme="majorBidi" w:cstheme="majorBidi"/>
          <w:sz w:val="28"/>
          <w:szCs w:val="28"/>
        </w:rPr>
      </w:pPr>
      <w:r w:rsidRPr="00433F99">
        <w:rPr>
          <w:rFonts w:asciiTheme="majorBidi" w:hAnsiTheme="majorBidi" w:cstheme="majorBidi"/>
          <w:sz w:val="28"/>
          <w:szCs w:val="28"/>
        </w:rPr>
        <w:t xml:space="preserve">According to the </w:t>
      </w:r>
      <w:r w:rsidR="00991019">
        <w:rPr>
          <w:rFonts w:asciiTheme="majorBidi" w:hAnsiTheme="majorBidi" w:cstheme="majorBidi"/>
          <w:sz w:val="28"/>
          <w:szCs w:val="28"/>
        </w:rPr>
        <w:t xml:space="preserve">means of availability of ICT resources in four countries we fine two countries in positive ( UAE and Qatar)  and two in negative ( Saudi Arabia and Jordan ) </w:t>
      </w:r>
      <w:r w:rsidR="005E59C3">
        <w:rPr>
          <w:rFonts w:asciiTheme="majorBidi" w:hAnsiTheme="majorBidi" w:cstheme="majorBidi"/>
          <w:sz w:val="28"/>
          <w:szCs w:val="28"/>
        </w:rPr>
        <w:t xml:space="preserve">that is the mean values are significantly difference </w:t>
      </w:r>
    </w:p>
    <w:p w:rsidR="004B65F5" w:rsidRDefault="00280A81" w:rsidP="007153B7">
      <w:pPr>
        <w:spacing w:line="360" w:lineRule="auto"/>
        <w:ind w:firstLine="720"/>
        <w:jc w:val="both"/>
        <w:rPr>
          <w:rFonts w:asciiTheme="majorBidi" w:hAnsiTheme="majorBidi" w:cstheme="majorBidi"/>
          <w:sz w:val="28"/>
          <w:szCs w:val="28"/>
        </w:rPr>
      </w:pPr>
      <w:r>
        <w:rPr>
          <w:noProof/>
        </w:rPr>
        <w:lastRenderedPageBreak/>
        <w:drawing>
          <wp:inline distT="0" distB="0" distL="0" distR="0" wp14:anchorId="7ACF0D89" wp14:editId="6D189C41">
            <wp:extent cx="4572000" cy="2743200"/>
            <wp:effectExtent l="0" t="0" r="19050" b="1905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bl>
      <w:tblPr>
        <w:tblStyle w:val="a4"/>
        <w:tblW w:w="0" w:type="auto"/>
        <w:tblLook w:val="04A0" w:firstRow="1" w:lastRow="0" w:firstColumn="1" w:lastColumn="0" w:noHBand="0" w:noVBand="1"/>
      </w:tblPr>
      <w:tblGrid>
        <w:gridCol w:w="2718"/>
        <w:gridCol w:w="1890"/>
        <w:gridCol w:w="1260"/>
        <w:gridCol w:w="1710"/>
        <w:gridCol w:w="1170"/>
        <w:gridCol w:w="828"/>
      </w:tblGrid>
      <w:tr w:rsidR="004B65F5" w:rsidRPr="004B65F5" w:rsidTr="003621C4">
        <w:tc>
          <w:tcPr>
            <w:tcW w:w="2718" w:type="dxa"/>
            <w:shd w:val="clear" w:color="auto" w:fill="F4B083" w:themeFill="accent2" w:themeFillTint="99"/>
          </w:tcPr>
          <w:p w:rsidR="004B65F5" w:rsidRPr="004B65F5" w:rsidRDefault="004B65F5" w:rsidP="004B65F5">
            <w:pPr>
              <w:autoSpaceDE w:val="0"/>
              <w:autoSpaceDN w:val="0"/>
              <w:adjustRightInd w:val="0"/>
              <w:spacing w:line="400" w:lineRule="atLeast"/>
              <w:rPr>
                <w:rFonts w:ascii="Times New Roman" w:eastAsia="Calibri" w:hAnsi="Times New Roman" w:cs="Times New Roman"/>
                <w:sz w:val="24"/>
                <w:szCs w:val="24"/>
              </w:rPr>
            </w:pPr>
            <w:r w:rsidRPr="004B65F5">
              <w:rPr>
                <w:rFonts w:ascii="Times New Roman" w:eastAsia="Calibri" w:hAnsi="Times New Roman" w:cs="Times New Roman"/>
                <w:sz w:val="24"/>
                <w:szCs w:val="24"/>
              </w:rPr>
              <w:t xml:space="preserve">ICT resources (WLE)  </w:t>
            </w:r>
          </w:p>
        </w:tc>
        <w:tc>
          <w:tcPr>
            <w:tcW w:w="1890"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Sum of Squares</w:t>
            </w:r>
          </w:p>
        </w:tc>
        <w:tc>
          <w:tcPr>
            <w:tcW w:w="1260" w:type="dxa"/>
            <w:shd w:val="clear" w:color="auto" w:fill="F4B083" w:themeFill="accent2" w:themeFillTint="99"/>
          </w:tcPr>
          <w:p w:rsidR="004B65F5" w:rsidRPr="004B65F5" w:rsidRDefault="004B65F5" w:rsidP="004B65F5">
            <w:pPr>
              <w:rPr>
                <w:rFonts w:ascii="Calibri" w:eastAsia="Calibri" w:hAnsi="Calibri" w:cs="Arial"/>
              </w:rPr>
            </w:pPr>
            <w:proofErr w:type="spellStart"/>
            <w:r w:rsidRPr="004B65F5">
              <w:rPr>
                <w:rFonts w:ascii="Calibri" w:eastAsia="Calibri" w:hAnsi="Calibri" w:cs="Arial"/>
              </w:rPr>
              <w:t>df</w:t>
            </w:r>
            <w:proofErr w:type="spellEnd"/>
          </w:p>
        </w:tc>
        <w:tc>
          <w:tcPr>
            <w:tcW w:w="1710"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Mean Square</w:t>
            </w:r>
          </w:p>
        </w:tc>
        <w:tc>
          <w:tcPr>
            <w:tcW w:w="1170"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F</w:t>
            </w:r>
          </w:p>
        </w:tc>
        <w:tc>
          <w:tcPr>
            <w:tcW w:w="828"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Sig.</w:t>
            </w:r>
          </w:p>
        </w:tc>
      </w:tr>
      <w:tr w:rsidR="004B65F5" w:rsidRPr="004B65F5" w:rsidTr="003621C4">
        <w:tc>
          <w:tcPr>
            <w:tcW w:w="2718"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Between Groups</w:t>
            </w:r>
          </w:p>
        </w:tc>
        <w:tc>
          <w:tcPr>
            <w:tcW w:w="1890" w:type="dxa"/>
          </w:tcPr>
          <w:p w:rsidR="004B65F5" w:rsidRPr="004B65F5" w:rsidRDefault="004B65F5" w:rsidP="004B65F5">
            <w:pPr>
              <w:rPr>
                <w:rFonts w:ascii="Calibri" w:eastAsia="Calibri" w:hAnsi="Calibri" w:cs="Arial"/>
              </w:rPr>
            </w:pPr>
            <w:r w:rsidRPr="004B65F5">
              <w:rPr>
                <w:rFonts w:ascii="Calibri" w:eastAsia="Calibri" w:hAnsi="Calibri" w:cs="Arial"/>
              </w:rPr>
              <w:t>71855.842</w:t>
            </w:r>
          </w:p>
        </w:tc>
        <w:tc>
          <w:tcPr>
            <w:tcW w:w="1260" w:type="dxa"/>
          </w:tcPr>
          <w:p w:rsidR="004B65F5" w:rsidRPr="004B65F5" w:rsidRDefault="004B65F5" w:rsidP="004B65F5">
            <w:pPr>
              <w:rPr>
                <w:rFonts w:ascii="Calibri" w:eastAsia="Calibri" w:hAnsi="Calibri" w:cs="Arial"/>
              </w:rPr>
            </w:pPr>
            <w:r w:rsidRPr="004B65F5">
              <w:rPr>
                <w:rFonts w:ascii="Calibri" w:eastAsia="Calibri" w:hAnsi="Calibri" w:cs="Arial"/>
              </w:rPr>
              <w:t>3</w:t>
            </w:r>
          </w:p>
        </w:tc>
        <w:tc>
          <w:tcPr>
            <w:tcW w:w="1710" w:type="dxa"/>
          </w:tcPr>
          <w:p w:rsidR="004B65F5" w:rsidRPr="004B65F5" w:rsidRDefault="004B65F5" w:rsidP="004B65F5">
            <w:pPr>
              <w:rPr>
                <w:rFonts w:ascii="Calibri" w:eastAsia="Calibri" w:hAnsi="Calibri" w:cs="Arial"/>
              </w:rPr>
            </w:pPr>
            <w:r w:rsidRPr="004B65F5">
              <w:rPr>
                <w:rFonts w:ascii="Calibri" w:eastAsia="Calibri" w:hAnsi="Calibri" w:cs="Arial"/>
              </w:rPr>
              <w:t>23951.947</w:t>
            </w:r>
          </w:p>
        </w:tc>
        <w:tc>
          <w:tcPr>
            <w:tcW w:w="1170" w:type="dxa"/>
          </w:tcPr>
          <w:p w:rsidR="004B65F5" w:rsidRPr="004B65F5" w:rsidRDefault="004B65F5" w:rsidP="004B65F5">
            <w:pPr>
              <w:rPr>
                <w:rFonts w:ascii="Calibri" w:eastAsia="Calibri" w:hAnsi="Calibri" w:cs="Arial"/>
              </w:rPr>
            </w:pPr>
            <w:r w:rsidRPr="004B65F5">
              <w:rPr>
                <w:rFonts w:ascii="Calibri" w:eastAsia="Calibri" w:hAnsi="Calibri" w:cs="Arial"/>
              </w:rPr>
              <w:t>17697.634</w:t>
            </w:r>
          </w:p>
        </w:tc>
        <w:tc>
          <w:tcPr>
            <w:tcW w:w="828" w:type="dxa"/>
          </w:tcPr>
          <w:p w:rsidR="004B65F5" w:rsidRPr="004B65F5" w:rsidRDefault="004B65F5" w:rsidP="004B65F5">
            <w:pPr>
              <w:rPr>
                <w:rFonts w:ascii="Calibri" w:eastAsia="Calibri" w:hAnsi="Calibri" w:cs="Arial"/>
              </w:rPr>
            </w:pPr>
            <w:r w:rsidRPr="004B65F5">
              <w:rPr>
                <w:rFonts w:ascii="Calibri" w:eastAsia="Calibri" w:hAnsi="Calibri" w:cs="Arial"/>
              </w:rPr>
              <w:t>.000</w:t>
            </w:r>
          </w:p>
        </w:tc>
      </w:tr>
      <w:tr w:rsidR="004B65F5" w:rsidRPr="004B65F5" w:rsidTr="003621C4">
        <w:tc>
          <w:tcPr>
            <w:tcW w:w="2718"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Within Groups</w:t>
            </w:r>
          </w:p>
        </w:tc>
        <w:tc>
          <w:tcPr>
            <w:tcW w:w="1890" w:type="dxa"/>
          </w:tcPr>
          <w:p w:rsidR="004B65F5" w:rsidRPr="004B65F5" w:rsidRDefault="004B65F5" w:rsidP="004B65F5">
            <w:pPr>
              <w:rPr>
                <w:rFonts w:ascii="Calibri" w:eastAsia="Calibri" w:hAnsi="Calibri" w:cs="Arial"/>
              </w:rPr>
            </w:pPr>
            <w:r w:rsidRPr="004B65F5">
              <w:rPr>
                <w:rFonts w:ascii="Calibri" w:eastAsia="Calibri" w:hAnsi="Calibri" w:cs="Arial"/>
              </w:rPr>
              <w:t>712016.056</w:t>
            </w:r>
          </w:p>
        </w:tc>
        <w:tc>
          <w:tcPr>
            <w:tcW w:w="1260" w:type="dxa"/>
          </w:tcPr>
          <w:p w:rsidR="004B65F5" w:rsidRPr="004B65F5" w:rsidRDefault="004B65F5" w:rsidP="004B65F5">
            <w:pPr>
              <w:rPr>
                <w:rFonts w:ascii="Calibri" w:eastAsia="Calibri" w:hAnsi="Calibri" w:cs="Arial"/>
              </w:rPr>
            </w:pPr>
            <w:r w:rsidRPr="004B65F5">
              <w:rPr>
                <w:rFonts w:ascii="Calibri" w:eastAsia="Calibri" w:hAnsi="Calibri" w:cs="Arial"/>
              </w:rPr>
              <w:t>526095</w:t>
            </w:r>
          </w:p>
        </w:tc>
        <w:tc>
          <w:tcPr>
            <w:tcW w:w="1710" w:type="dxa"/>
          </w:tcPr>
          <w:p w:rsidR="004B65F5" w:rsidRPr="004B65F5" w:rsidRDefault="004B65F5" w:rsidP="004B65F5">
            <w:pPr>
              <w:rPr>
                <w:rFonts w:ascii="Calibri" w:eastAsia="Calibri" w:hAnsi="Calibri" w:cs="Arial"/>
              </w:rPr>
            </w:pPr>
            <w:r w:rsidRPr="004B65F5">
              <w:rPr>
                <w:rFonts w:ascii="Calibri" w:eastAsia="Calibri" w:hAnsi="Calibri" w:cs="Arial"/>
              </w:rPr>
              <w:t>1.353</w:t>
            </w:r>
          </w:p>
        </w:tc>
        <w:tc>
          <w:tcPr>
            <w:tcW w:w="1170" w:type="dxa"/>
          </w:tcPr>
          <w:p w:rsidR="004B65F5" w:rsidRPr="004B65F5" w:rsidRDefault="004B65F5" w:rsidP="004B65F5">
            <w:pPr>
              <w:rPr>
                <w:rFonts w:ascii="Calibri" w:eastAsia="Calibri" w:hAnsi="Calibri" w:cs="Arial"/>
              </w:rPr>
            </w:pPr>
          </w:p>
        </w:tc>
        <w:tc>
          <w:tcPr>
            <w:tcW w:w="828" w:type="dxa"/>
          </w:tcPr>
          <w:p w:rsidR="004B65F5" w:rsidRPr="004B65F5" w:rsidRDefault="004B65F5" w:rsidP="004B65F5">
            <w:pPr>
              <w:rPr>
                <w:rFonts w:ascii="Calibri" w:eastAsia="Calibri" w:hAnsi="Calibri" w:cs="Arial"/>
              </w:rPr>
            </w:pPr>
          </w:p>
        </w:tc>
      </w:tr>
      <w:tr w:rsidR="004B65F5" w:rsidRPr="004B65F5" w:rsidTr="003621C4">
        <w:tc>
          <w:tcPr>
            <w:tcW w:w="2718" w:type="dxa"/>
            <w:shd w:val="clear" w:color="auto" w:fill="F4B083" w:themeFill="accent2" w:themeFillTint="99"/>
          </w:tcPr>
          <w:p w:rsidR="004B65F5" w:rsidRPr="004B65F5" w:rsidRDefault="004B65F5" w:rsidP="004B65F5">
            <w:pPr>
              <w:rPr>
                <w:rFonts w:ascii="Calibri" w:eastAsia="Calibri" w:hAnsi="Calibri" w:cs="Arial"/>
              </w:rPr>
            </w:pPr>
            <w:r w:rsidRPr="004B65F5">
              <w:rPr>
                <w:rFonts w:ascii="Calibri" w:eastAsia="Calibri" w:hAnsi="Calibri" w:cs="Arial"/>
              </w:rPr>
              <w:t>Total</w:t>
            </w:r>
          </w:p>
        </w:tc>
        <w:tc>
          <w:tcPr>
            <w:tcW w:w="1890" w:type="dxa"/>
          </w:tcPr>
          <w:p w:rsidR="004B65F5" w:rsidRPr="004B65F5" w:rsidRDefault="004B65F5" w:rsidP="004B65F5">
            <w:pPr>
              <w:rPr>
                <w:rFonts w:ascii="Calibri" w:eastAsia="Calibri" w:hAnsi="Calibri" w:cs="Arial"/>
              </w:rPr>
            </w:pPr>
            <w:r w:rsidRPr="004B65F5">
              <w:rPr>
                <w:rFonts w:ascii="Calibri" w:eastAsia="Calibri" w:hAnsi="Calibri" w:cs="Arial"/>
              </w:rPr>
              <w:t>783871.899</w:t>
            </w:r>
          </w:p>
        </w:tc>
        <w:tc>
          <w:tcPr>
            <w:tcW w:w="1260" w:type="dxa"/>
          </w:tcPr>
          <w:p w:rsidR="004B65F5" w:rsidRPr="004B65F5" w:rsidRDefault="004B65F5" w:rsidP="004B65F5">
            <w:pPr>
              <w:rPr>
                <w:rFonts w:ascii="Calibri" w:eastAsia="Calibri" w:hAnsi="Calibri" w:cs="Arial"/>
              </w:rPr>
            </w:pPr>
            <w:r w:rsidRPr="004B65F5">
              <w:rPr>
                <w:rFonts w:ascii="Calibri" w:eastAsia="Calibri" w:hAnsi="Calibri" w:cs="Arial"/>
              </w:rPr>
              <w:t>526098</w:t>
            </w:r>
          </w:p>
        </w:tc>
        <w:tc>
          <w:tcPr>
            <w:tcW w:w="1710" w:type="dxa"/>
          </w:tcPr>
          <w:p w:rsidR="004B65F5" w:rsidRPr="004B65F5" w:rsidRDefault="004B65F5" w:rsidP="004B65F5">
            <w:pPr>
              <w:rPr>
                <w:rFonts w:ascii="Calibri" w:eastAsia="Calibri" w:hAnsi="Calibri" w:cs="Arial"/>
              </w:rPr>
            </w:pPr>
          </w:p>
        </w:tc>
        <w:tc>
          <w:tcPr>
            <w:tcW w:w="1170" w:type="dxa"/>
          </w:tcPr>
          <w:p w:rsidR="004B65F5" w:rsidRPr="004B65F5" w:rsidRDefault="004B65F5" w:rsidP="004B65F5">
            <w:pPr>
              <w:rPr>
                <w:rFonts w:ascii="Calibri" w:eastAsia="Calibri" w:hAnsi="Calibri" w:cs="Arial"/>
              </w:rPr>
            </w:pPr>
          </w:p>
        </w:tc>
        <w:tc>
          <w:tcPr>
            <w:tcW w:w="828" w:type="dxa"/>
          </w:tcPr>
          <w:p w:rsidR="004B65F5" w:rsidRPr="004B65F5" w:rsidRDefault="004B65F5" w:rsidP="004B65F5">
            <w:pPr>
              <w:rPr>
                <w:rFonts w:ascii="Calibri" w:eastAsia="Calibri" w:hAnsi="Calibri" w:cs="Arial"/>
              </w:rPr>
            </w:pPr>
          </w:p>
        </w:tc>
      </w:tr>
    </w:tbl>
    <w:p w:rsidR="004B65F5" w:rsidRDefault="003621C4" w:rsidP="00A91B8E">
      <w:pPr>
        <w:spacing w:line="360" w:lineRule="auto"/>
        <w:ind w:firstLine="720"/>
        <w:jc w:val="both"/>
        <w:rPr>
          <w:rFonts w:asciiTheme="majorBidi" w:hAnsiTheme="majorBidi" w:cstheme="majorBidi"/>
          <w:sz w:val="28"/>
          <w:szCs w:val="28"/>
        </w:rPr>
      </w:pPr>
      <w:r w:rsidRPr="003621C4">
        <w:rPr>
          <w:rFonts w:asciiTheme="majorBidi" w:hAnsiTheme="majorBidi" w:cstheme="majorBidi"/>
          <w:b/>
          <w:bCs/>
          <w:sz w:val="28"/>
          <w:szCs w:val="28"/>
        </w:rPr>
        <w:t xml:space="preserve">Table </w:t>
      </w:r>
      <w:r>
        <w:rPr>
          <w:rFonts w:asciiTheme="majorBidi" w:hAnsiTheme="majorBidi" w:cstheme="majorBidi"/>
          <w:b/>
          <w:bCs/>
          <w:sz w:val="28"/>
          <w:szCs w:val="28"/>
        </w:rPr>
        <w:t>2</w:t>
      </w:r>
      <w:r w:rsidRPr="003621C4">
        <w:rPr>
          <w:rFonts w:asciiTheme="majorBidi" w:hAnsiTheme="majorBidi" w:cstheme="majorBidi"/>
          <w:b/>
          <w:bCs/>
          <w:sz w:val="28"/>
          <w:szCs w:val="28"/>
        </w:rPr>
        <w:t>:</w:t>
      </w:r>
      <w:r w:rsidR="00BC1513">
        <w:rPr>
          <w:rFonts w:asciiTheme="majorBidi" w:hAnsiTheme="majorBidi" w:cstheme="majorBidi"/>
          <w:b/>
          <w:bCs/>
          <w:sz w:val="28"/>
          <w:szCs w:val="28"/>
        </w:rPr>
        <w:t>ANOVA</w:t>
      </w:r>
      <w:r w:rsidRPr="003621C4">
        <w:rPr>
          <w:rFonts w:asciiTheme="majorBidi" w:hAnsiTheme="majorBidi" w:cstheme="majorBidi"/>
          <w:b/>
          <w:bCs/>
          <w:sz w:val="28"/>
          <w:szCs w:val="28"/>
        </w:rPr>
        <w:t xml:space="preserve"> for ICT resources (WLEs)</w:t>
      </w:r>
    </w:p>
    <w:p w:rsidR="00D9300D" w:rsidRPr="00D9300D" w:rsidRDefault="00E123E1" w:rsidP="007C0132">
      <w:pPr>
        <w:spacing w:line="360" w:lineRule="auto"/>
        <w:ind w:firstLine="720"/>
        <w:rPr>
          <w:rFonts w:asciiTheme="majorBidi" w:hAnsiTheme="majorBidi" w:cstheme="majorBidi"/>
          <w:sz w:val="28"/>
          <w:szCs w:val="28"/>
        </w:rPr>
      </w:pPr>
      <w:r w:rsidRPr="00E123E1">
        <w:rPr>
          <w:rFonts w:asciiTheme="majorBidi" w:hAnsiTheme="majorBidi" w:cstheme="majorBidi"/>
          <w:sz w:val="28"/>
          <w:szCs w:val="28"/>
        </w:rPr>
        <w:t xml:space="preserve">Table </w:t>
      </w:r>
      <w:r>
        <w:rPr>
          <w:rFonts w:asciiTheme="majorBidi" w:hAnsiTheme="majorBidi" w:cstheme="majorBidi"/>
          <w:sz w:val="28"/>
          <w:szCs w:val="28"/>
        </w:rPr>
        <w:t>2</w:t>
      </w:r>
      <w:r w:rsidRPr="00E123E1">
        <w:rPr>
          <w:rFonts w:asciiTheme="majorBidi" w:hAnsiTheme="majorBidi" w:cstheme="majorBidi"/>
          <w:sz w:val="28"/>
          <w:szCs w:val="28"/>
        </w:rPr>
        <w:t xml:space="preserve"> shows that</w:t>
      </w:r>
      <w:r w:rsidR="007C0132">
        <w:rPr>
          <w:rFonts w:asciiTheme="majorBidi" w:hAnsiTheme="majorBidi" w:cstheme="majorBidi"/>
          <w:sz w:val="28"/>
          <w:szCs w:val="28"/>
        </w:rPr>
        <w:t xml:space="preserve"> t</w:t>
      </w:r>
      <w:r w:rsidR="007C0132" w:rsidRPr="007C0132">
        <w:rPr>
          <w:rFonts w:asciiTheme="majorBidi" w:hAnsiTheme="majorBidi" w:cstheme="majorBidi"/>
          <w:sz w:val="28"/>
          <w:szCs w:val="28"/>
        </w:rPr>
        <w:t xml:space="preserve">here was a statistically significant difference between groups as determined by one-way ANOVA </w:t>
      </w:r>
      <w:r w:rsidRPr="00E123E1">
        <w:rPr>
          <w:rFonts w:asciiTheme="majorBidi" w:hAnsiTheme="majorBidi" w:cstheme="majorBidi"/>
          <w:sz w:val="28"/>
          <w:szCs w:val="28"/>
        </w:rPr>
        <w:t xml:space="preserve"> </w:t>
      </w:r>
      <w:r w:rsidR="00D9300D" w:rsidRPr="00D9300D">
        <w:rPr>
          <w:rFonts w:asciiTheme="majorBidi" w:hAnsiTheme="majorBidi" w:cstheme="majorBidi"/>
          <w:sz w:val="28"/>
          <w:szCs w:val="28"/>
        </w:rPr>
        <w:t xml:space="preserve">F(3,52609) = 17697.634 , P = 0.00 , P </w:t>
      </w:r>
      <w:proofErr w:type="spellStart"/>
      <w:r w:rsidR="00D9300D" w:rsidRPr="00D9300D">
        <w:rPr>
          <w:rFonts w:asciiTheme="majorBidi" w:hAnsiTheme="majorBidi" w:cstheme="majorBidi"/>
          <w:sz w:val="28"/>
          <w:szCs w:val="28"/>
        </w:rPr>
        <w:t>les</w:t>
      </w:r>
      <w:proofErr w:type="spellEnd"/>
      <w:r w:rsidR="00D9300D" w:rsidRPr="00D9300D">
        <w:rPr>
          <w:rFonts w:asciiTheme="majorBidi" w:hAnsiTheme="majorBidi" w:cstheme="majorBidi"/>
          <w:sz w:val="28"/>
          <w:szCs w:val="28"/>
        </w:rPr>
        <w:t xml:space="preserve"> than 0.05 </w:t>
      </w:r>
    </w:p>
    <w:p w:rsidR="00D76C99" w:rsidRDefault="00D9300D" w:rsidP="00E123E1">
      <w:pPr>
        <w:spacing w:line="360" w:lineRule="auto"/>
        <w:jc w:val="both"/>
        <w:rPr>
          <w:rFonts w:asciiTheme="majorBidi" w:hAnsiTheme="majorBidi" w:cstheme="majorBidi"/>
          <w:sz w:val="28"/>
          <w:szCs w:val="28"/>
        </w:rPr>
      </w:pPr>
      <w:r w:rsidRPr="00D9300D">
        <w:rPr>
          <w:rFonts w:asciiTheme="majorBidi" w:hAnsiTheme="majorBidi" w:cstheme="majorBidi"/>
          <w:sz w:val="28"/>
          <w:szCs w:val="28"/>
        </w:rPr>
        <w:t xml:space="preserve">There was a significant effect of ICT resources for four countries at the P </w:t>
      </w:r>
      <w:proofErr w:type="spellStart"/>
      <w:r w:rsidRPr="00D9300D">
        <w:rPr>
          <w:rFonts w:asciiTheme="majorBidi" w:hAnsiTheme="majorBidi" w:cstheme="majorBidi"/>
          <w:sz w:val="28"/>
          <w:szCs w:val="28"/>
        </w:rPr>
        <w:t>les</w:t>
      </w:r>
      <w:proofErr w:type="spellEnd"/>
      <w:r w:rsidRPr="00D9300D">
        <w:rPr>
          <w:rFonts w:asciiTheme="majorBidi" w:hAnsiTheme="majorBidi" w:cstheme="majorBidi"/>
          <w:sz w:val="28"/>
          <w:szCs w:val="28"/>
        </w:rPr>
        <w:t xml:space="preserve"> than 0.05 level.</w:t>
      </w:r>
    </w:p>
    <w:tbl>
      <w:tblPr>
        <w:tblStyle w:val="a4"/>
        <w:tblW w:w="0" w:type="auto"/>
        <w:tblLook w:val="04A0" w:firstRow="1" w:lastRow="0" w:firstColumn="1" w:lastColumn="0" w:noHBand="0" w:noVBand="1"/>
      </w:tblPr>
      <w:tblGrid>
        <w:gridCol w:w="1458"/>
        <w:gridCol w:w="2700"/>
        <w:gridCol w:w="1890"/>
        <w:gridCol w:w="986"/>
        <w:gridCol w:w="1276"/>
        <w:gridCol w:w="1266"/>
      </w:tblGrid>
      <w:tr w:rsidR="00F40F07" w:rsidRPr="00D95D3C" w:rsidTr="00F40F07">
        <w:tc>
          <w:tcPr>
            <w:tcW w:w="1458" w:type="dxa"/>
            <w:vMerge w:val="restart"/>
            <w:shd w:val="clear" w:color="auto" w:fill="A8D08D" w:themeFill="accent6" w:themeFillTint="99"/>
          </w:tcPr>
          <w:p w:rsidR="00D95D3C" w:rsidRPr="00D95D3C" w:rsidRDefault="00D95D3C" w:rsidP="00D95D3C">
            <w:pPr>
              <w:jc w:val="center"/>
              <w:rPr>
                <w:rFonts w:ascii="Calibri" w:eastAsia="Calibri" w:hAnsi="Calibri" w:cs="Arial"/>
              </w:rPr>
            </w:pPr>
            <w:r w:rsidRPr="00D95D3C">
              <w:rPr>
                <w:rFonts w:ascii="Calibri" w:eastAsia="Calibri" w:hAnsi="Calibri" w:cs="Arial"/>
              </w:rPr>
              <w:t>ICT resources ( WLE)</w:t>
            </w:r>
          </w:p>
        </w:tc>
        <w:tc>
          <w:tcPr>
            <w:tcW w:w="2700" w:type="dxa"/>
            <w:shd w:val="clear" w:color="auto" w:fill="A8D08D" w:themeFill="accent6" w:themeFillTint="99"/>
          </w:tcPr>
          <w:p w:rsidR="00D95D3C" w:rsidRPr="00D95D3C" w:rsidRDefault="00D95D3C" w:rsidP="00D95D3C">
            <w:pPr>
              <w:rPr>
                <w:rFonts w:ascii="Calibri" w:eastAsia="Calibri" w:hAnsi="Calibri" w:cs="Arial"/>
              </w:rPr>
            </w:pPr>
            <w:r w:rsidRPr="00D95D3C">
              <w:rPr>
                <w:rFonts w:ascii="Calibri" w:eastAsia="Calibri" w:hAnsi="Calibri" w:cs="Arial"/>
              </w:rPr>
              <w:t>Based on Mean</w:t>
            </w:r>
          </w:p>
        </w:tc>
        <w:tc>
          <w:tcPr>
            <w:tcW w:w="1890" w:type="dxa"/>
            <w:shd w:val="clear" w:color="auto" w:fill="A8D08D" w:themeFill="accent6" w:themeFillTint="99"/>
          </w:tcPr>
          <w:p w:rsidR="00D95D3C" w:rsidRPr="00D95D3C" w:rsidRDefault="00D95D3C" w:rsidP="00D95D3C">
            <w:pPr>
              <w:jc w:val="center"/>
              <w:rPr>
                <w:rFonts w:ascii="Calibri" w:eastAsia="Calibri" w:hAnsi="Calibri" w:cs="Arial"/>
              </w:rPr>
            </w:pPr>
            <w:r w:rsidRPr="00D95D3C">
              <w:rPr>
                <w:rFonts w:ascii="Calibri" w:eastAsia="Calibri" w:hAnsi="Calibri" w:cs="Arial"/>
              </w:rPr>
              <w:t xml:space="preserve"> </w:t>
            </w:r>
            <w:proofErr w:type="spellStart"/>
            <w:r w:rsidRPr="00D95D3C">
              <w:rPr>
                <w:rFonts w:ascii="Calibri" w:eastAsia="Calibri" w:hAnsi="Calibri" w:cs="Arial"/>
              </w:rPr>
              <w:t>Levene</w:t>
            </w:r>
            <w:proofErr w:type="spellEnd"/>
            <w:r w:rsidRPr="00D95D3C">
              <w:rPr>
                <w:rFonts w:ascii="Calibri" w:eastAsia="Calibri" w:hAnsi="Calibri" w:cs="Arial"/>
              </w:rPr>
              <w:t xml:space="preserve"> statistic</w:t>
            </w:r>
          </w:p>
        </w:tc>
        <w:tc>
          <w:tcPr>
            <w:tcW w:w="986" w:type="dxa"/>
            <w:shd w:val="clear" w:color="auto" w:fill="A8D08D" w:themeFill="accent6" w:themeFillTint="99"/>
          </w:tcPr>
          <w:p w:rsidR="00D95D3C" w:rsidRPr="00D95D3C" w:rsidRDefault="00D95D3C" w:rsidP="00D95D3C">
            <w:pPr>
              <w:jc w:val="center"/>
              <w:rPr>
                <w:rFonts w:ascii="Calibri" w:eastAsia="Calibri" w:hAnsi="Calibri" w:cs="Arial"/>
              </w:rPr>
            </w:pPr>
            <w:r w:rsidRPr="00D95D3C">
              <w:rPr>
                <w:rFonts w:ascii="Calibri" w:eastAsia="Calibri" w:hAnsi="Calibri" w:cs="Arial"/>
              </w:rPr>
              <w:t>df1</w:t>
            </w:r>
          </w:p>
        </w:tc>
        <w:tc>
          <w:tcPr>
            <w:tcW w:w="1276" w:type="dxa"/>
            <w:shd w:val="clear" w:color="auto" w:fill="A8D08D" w:themeFill="accent6" w:themeFillTint="99"/>
          </w:tcPr>
          <w:p w:rsidR="00D95D3C" w:rsidRPr="00D95D3C" w:rsidRDefault="00D95D3C" w:rsidP="00D95D3C">
            <w:pPr>
              <w:jc w:val="center"/>
              <w:rPr>
                <w:rFonts w:ascii="Calibri" w:eastAsia="Calibri" w:hAnsi="Calibri" w:cs="Arial"/>
              </w:rPr>
            </w:pPr>
            <w:r w:rsidRPr="00D95D3C">
              <w:rPr>
                <w:rFonts w:ascii="Calibri" w:eastAsia="Calibri" w:hAnsi="Calibri" w:cs="Arial"/>
              </w:rPr>
              <w:t>df2</w:t>
            </w:r>
          </w:p>
        </w:tc>
        <w:tc>
          <w:tcPr>
            <w:tcW w:w="1266" w:type="dxa"/>
            <w:shd w:val="clear" w:color="auto" w:fill="A8D08D" w:themeFill="accent6" w:themeFillTint="99"/>
          </w:tcPr>
          <w:p w:rsidR="00D95D3C" w:rsidRPr="00D95D3C" w:rsidRDefault="00D95D3C" w:rsidP="00D95D3C">
            <w:pPr>
              <w:jc w:val="center"/>
              <w:rPr>
                <w:rFonts w:ascii="Calibri" w:eastAsia="Calibri" w:hAnsi="Calibri" w:cs="Arial"/>
              </w:rPr>
            </w:pPr>
            <w:r w:rsidRPr="00D95D3C">
              <w:rPr>
                <w:rFonts w:ascii="Calibri" w:eastAsia="Calibri" w:hAnsi="Calibri" w:cs="Arial"/>
              </w:rPr>
              <w:t>Sig</w:t>
            </w:r>
          </w:p>
        </w:tc>
      </w:tr>
      <w:tr w:rsidR="00F40F07" w:rsidRPr="00D95D3C" w:rsidTr="00F40F07">
        <w:tc>
          <w:tcPr>
            <w:tcW w:w="1458" w:type="dxa"/>
            <w:vMerge/>
            <w:shd w:val="clear" w:color="auto" w:fill="A8D08D" w:themeFill="accent6" w:themeFillTint="99"/>
          </w:tcPr>
          <w:p w:rsidR="00D95D3C" w:rsidRPr="00D95D3C" w:rsidRDefault="00D95D3C" w:rsidP="00D95D3C">
            <w:pPr>
              <w:jc w:val="center"/>
              <w:rPr>
                <w:rFonts w:ascii="Calibri" w:eastAsia="Calibri" w:hAnsi="Calibri" w:cs="Arial"/>
              </w:rPr>
            </w:pPr>
          </w:p>
        </w:tc>
        <w:tc>
          <w:tcPr>
            <w:tcW w:w="2700" w:type="dxa"/>
          </w:tcPr>
          <w:p w:rsidR="00D95D3C" w:rsidRPr="00D95D3C" w:rsidRDefault="00D95D3C" w:rsidP="00D95D3C">
            <w:pPr>
              <w:rPr>
                <w:rFonts w:ascii="Calibri" w:eastAsia="Calibri" w:hAnsi="Calibri" w:cs="Arial"/>
              </w:rPr>
            </w:pPr>
            <w:r w:rsidRPr="00D95D3C">
              <w:rPr>
                <w:rFonts w:ascii="Calibri" w:eastAsia="Calibri" w:hAnsi="Calibri" w:cs="Arial"/>
              </w:rPr>
              <w:t>Based on Median</w:t>
            </w:r>
          </w:p>
        </w:tc>
        <w:tc>
          <w:tcPr>
            <w:tcW w:w="1890" w:type="dxa"/>
          </w:tcPr>
          <w:p w:rsidR="00D95D3C" w:rsidRPr="00D95D3C" w:rsidRDefault="00D95D3C" w:rsidP="00D95D3C">
            <w:pPr>
              <w:rPr>
                <w:rFonts w:ascii="Calibri" w:eastAsia="Calibri" w:hAnsi="Calibri" w:cs="Arial"/>
              </w:rPr>
            </w:pPr>
            <w:r w:rsidRPr="00D95D3C">
              <w:rPr>
                <w:rFonts w:ascii="Calibri" w:eastAsia="Calibri" w:hAnsi="Calibri" w:cs="Arial"/>
              </w:rPr>
              <w:t>391.019</w:t>
            </w:r>
          </w:p>
        </w:tc>
        <w:tc>
          <w:tcPr>
            <w:tcW w:w="986" w:type="dxa"/>
          </w:tcPr>
          <w:p w:rsidR="00D95D3C" w:rsidRPr="00D95D3C" w:rsidRDefault="00D95D3C" w:rsidP="00D95D3C">
            <w:pPr>
              <w:rPr>
                <w:rFonts w:ascii="Calibri" w:eastAsia="Calibri" w:hAnsi="Calibri" w:cs="Arial"/>
              </w:rPr>
            </w:pPr>
            <w:r w:rsidRPr="00D95D3C">
              <w:rPr>
                <w:rFonts w:ascii="Calibri" w:eastAsia="Calibri" w:hAnsi="Calibri" w:cs="Arial"/>
              </w:rPr>
              <w:t>3</w:t>
            </w:r>
          </w:p>
        </w:tc>
        <w:tc>
          <w:tcPr>
            <w:tcW w:w="1276" w:type="dxa"/>
          </w:tcPr>
          <w:p w:rsidR="00D95D3C" w:rsidRPr="00D95D3C" w:rsidRDefault="00D95D3C" w:rsidP="00D95D3C">
            <w:pPr>
              <w:rPr>
                <w:rFonts w:ascii="Calibri" w:eastAsia="Calibri" w:hAnsi="Calibri" w:cs="Arial"/>
              </w:rPr>
            </w:pPr>
            <w:r w:rsidRPr="00D95D3C">
              <w:rPr>
                <w:rFonts w:ascii="Calibri" w:eastAsia="Calibri" w:hAnsi="Calibri" w:cs="Arial"/>
              </w:rPr>
              <w:t>526096</w:t>
            </w:r>
          </w:p>
        </w:tc>
        <w:tc>
          <w:tcPr>
            <w:tcW w:w="1266" w:type="dxa"/>
          </w:tcPr>
          <w:p w:rsidR="00D95D3C" w:rsidRPr="00D95D3C" w:rsidRDefault="00D95D3C" w:rsidP="00D95D3C">
            <w:pPr>
              <w:jc w:val="center"/>
              <w:rPr>
                <w:rFonts w:ascii="Calibri" w:eastAsia="Calibri" w:hAnsi="Calibri" w:cs="Arial"/>
              </w:rPr>
            </w:pPr>
            <w:r w:rsidRPr="00D95D3C">
              <w:rPr>
                <w:rFonts w:ascii="Calibri" w:eastAsia="Calibri" w:hAnsi="Calibri" w:cs="Arial"/>
              </w:rPr>
              <w:t>.000</w:t>
            </w:r>
          </w:p>
        </w:tc>
      </w:tr>
      <w:tr w:rsidR="00F40F07" w:rsidRPr="00D95D3C" w:rsidTr="00F40F07">
        <w:tc>
          <w:tcPr>
            <w:tcW w:w="1458" w:type="dxa"/>
            <w:vMerge/>
            <w:shd w:val="clear" w:color="auto" w:fill="A8D08D" w:themeFill="accent6" w:themeFillTint="99"/>
          </w:tcPr>
          <w:p w:rsidR="00D95D3C" w:rsidRPr="00D95D3C" w:rsidRDefault="00D95D3C" w:rsidP="00D95D3C">
            <w:pPr>
              <w:jc w:val="center"/>
              <w:rPr>
                <w:rFonts w:ascii="Calibri" w:eastAsia="Calibri" w:hAnsi="Calibri" w:cs="Arial"/>
              </w:rPr>
            </w:pPr>
          </w:p>
        </w:tc>
        <w:tc>
          <w:tcPr>
            <w:tcW w:w="2700" w:type="dxa"/>
          </w:tcPr>
          <w:p w:rsidR="00D95D3C" w:rsidRPr="00D95D3C" w:rsidRDefault="00D95D3C" w:rsidP="00D95D3C">
            <w:pPr>
              <w:rPr>
                <w:rFonts w:ascii="Calibri" w:eastAsia="Calibri" w:hAnsi="Calibri" w:cs="Arial"/>
              </w:rPr>
            </w:pPr>
            <w:r w:rsidRPr="00D95D3C">
              <w:rPr>
                <w:rFonts w:ascii="Calibri" w:eastAsia="Calibri" w:hAnsi="Calibri" w:cs="Arial"/>
              </w:rPr>
              <w:t xml:space="preserve">Based on Median and with adjusted </w:t>
            </w:r>
            <w:proofErr w:type="spellStart"/>
            <w:r w:rsidRPr="00D95D3C">
              <w:rPr>
                <w:rFonts w:ascii="Calibri" w:eastAsia="Calibri" w:hAnsi="Calibri" w:cs="Arial"/>
              </w:rPr>
              <w:t>df</w:t>
            </w:r>
            <w:proofErr w:type="spellEnd"/>
          </w:p>
        </w:tc>
        <w:tc>
          <w:tcPr>
            <w:tcW w:w="1890" w:type="dxa"/>
          </w:tcPr>
          <w:p w:rsidR="00D95D3C" w:rsidRPr="00D95D3C" w:rsidRDefault="00D95D3C" w:rsidP="00D95D3C">
            <w:pPr>
              <w:rPr>
                <w:rFonts w:ascii="Calibri" w:eastAsia="Calibri" w:hAnsi="Calibri" w:cs="Arial"/>
              </w:rPr>
            </w:pPr>
            <w:r w:rsidRPr="00D95D3C">
              <w:rPr>
                <w:rFonts w:ascii="Calibri" w:eastAsia="Calibri" w:hAnsi="Calibri" w:cs="Arial"/>
              </w:rPr>
              <w:t>362.857</w:t>
            </w:r>
          </w:p>
        </w:tc>
        <w:tc>
          <w:tcPr>
            <w:tcW w:w="986" w:type="dxa"/>
          </w:tcPr>
          <w:p w:rsidR="00D95D3C" w:rsidRPr="00D95D3C" w:rsidRDefault="00D95D3C" w:rsidP="00D95D3C">
            <w:pPr>
              <w:rPr>
                <w:rFonts w:ascii="Calibri" w:eastAsia="Calibri" w:hAnsi="Calibri" w:cs="Arial"/>
              </w:rPr>
            </w:pPr>
            <w:r w:rsidRPr="00D95D3C">
              <w:rPr>
                <w:rFonts w:ascii="Calibri" w:eastAsia="Calibri" w:hAnsi="Calibri" w:cs="Arial"/>
              </w:rPr>
              <w:t>3</w:t>
            </w:r>
          </w:p>
        </w:tc>
        <w:tc>
          <w:tcPr>
            <w:tcW w:w="1276" w:type="dxa"/>
          </w:tcPr>
          <w:p w:rsidR="00D95D3C" w:rsidRPr="00D95D3C" w:rsidRDefault="00D95D3C" w:rsidP="00D95D3C">
            <w:pPr>
              <w:rPr>
                <w:rFonts w:ascii="Calibri" w:eastAsia="Calibri" w:hAnsi="Calibri" w:cs="Arial"/>
              </w:rPr>
            </w:pPr>
            <w:r w:rsidRPr="00D95D3C">
              <w:rPr>
                <w:rFonts w:ascii="Calibri" w:eastAsia="Calibri" w:hAnsi="Calibri" w:cs="Arial"/>
              </w:rPr>
              <w:t>526096</w:t>
            </w:r>
          </w:p>
        </w:tc>
        <w:tc>
          <w:tcPr>
            <w:tcW w:w="1266" w:type="dxa"/>
          </w:tcPr>
          <w:p w:rsidR="00D95D3C" w:rsidRPr="00D95D3C" w:rsidRDefault="00D95D3C" w:rsidP="00D95D3C">
            <w:pPr>
              <w:jc w:val="center"/>
              <w:rPr>
                <w:rFonts w:ascii="Calibri" w:eastAsia="Calibri" w:hAnsi="Calibri" w:cs="Arial"/>
              </w:rPr>
            </w:pPr>
            <w:r w:rsidRPr="00D95D3C">
              <w:rPr>
                <w:rFonts w:ascii="Calibri" w:eastAsia="Calibri" w:hAnsi="Calibri" w:cs="Arial"/>
              </w:rPr>
              <w:t>.000</w:t>
            </w:r>
          </w:p>
        </w:tc>
      </w:tr>
      <w:tr w:rsidR="00F40F07" w:rsidRPr="00D95D3C" w:rsidTr="00F40F07">
        <w:tc>
          <w:tcPr>
            <w:tcW w:w="1458" w:type="dxa"/>
            <w:vMerge/>
            <w:shd w:val="clear" w:color="auto" w:fill="A8D08D" w:themeFill="accent6" w:themeFillTint="99"/>
          </w:tcPr>
          <w:p w:rsidR="00D95D3C" w:rsidRPr="00D95D3C" w:rsidRDefault="00D95D3C" w:rsidP="00D95D3C">
            <w:pPr>
              <w:jc w:val="center"/>
              <w:rPr>
                <w:rFonts w:ascii="Calibri" w:eastAsia="Calibri" w:hAnsi="Calibri" w:cs="Arial"/>
              </w:rPr>
            </w:pPr>
          </w:p>
        </w:tc>
        <w:tc>
          <w:tcPr>
            <w:tcW w:w="2700" w:type="dxa"/>
          </w:tcPr>
          <w:p w:rsidR="00D95D3C" w:rsidRPr="00D95D3C" w:rsidRDefault="00D95D3C" w:rsidP="00D95D3C">
            <w:pPr>
              <w:rPr>
                <w:rFonts w:ascii="Calibri" w:eastAsia="Calibri" w:hAnsi="Calibri" w:cs="Arial"/>
              </w:rPr>
            </w:pPr>
            <w:r w:rsidRPr="00D95D3C">
              <w:rPr>
                <w:rFonts w:ascii="Calibri" w:eastAsia="Calibri" w:hAnsi="Calibri" w:cs="Arial"/>
              </w:rPr>
              <w:t>Based on trimmed mean</w:t>
            </w:r>
          </w:p>
        </w:tc>
        <w:tc>
          <w:tcPr>
            <w:tcW w:w="1890" w:type="dxa"/>
          </w:tcPr>
          <w:p w:rsidR="00D95D3C" w:rsidRPr="00D95D3C" w:rsidRDefault="00D95D3C" w:rsidP="00D95D3C">
            <w:pPr>
              <w:rPr>
                <w:rFonts w:ascii="Calibri" w:eastAsia="Calibri" w:hAnsi="Calibri" w:cs="Arial"/>
              </w:rPr>
            </w:pPr>
            <w:r w:rsidRPr="00D95D3C">
              <w:rPr>
                <w:rFonts w:ascii="Calibri" w:eastAsia="Calibri" w:hAnsi="Calibri" w:cs="Arial"/>
              </w:rPr>
              <w:t>362.857</w:t>
            </w:r>
          </w:p>
        </w:tc>
        <w:tc>
          <w:tcPr>
            <w:tcW w:w="986" w:type="dxa"/>
          </w:tcPr>
          <w:p w:rsidR="00D95D3C" w:rsidRPr="00D95D3C" w:rsidRDefault="00D95D3C" w:rsidP="00D95D3C">
            <w:pPr>
              <w:rPr>
                <w:rFonts w:ascii="Calibri" w:eastAsia="Calibri" w:hAnsi="Calibri" w:cs="Arial"/>
              </w:rPr>
            </w:pPr>
            <w:r w:rsidRPr="00D95D3C">
              <w:rPr>
                <w:rFonts w:ascii="Calibri" w:eastAsia="Calibri" w:hAnsi="Calibri" w:cs="Arial"/>
              </w:rPr>
              <w:t>3</w:t>
            </w:r>
          </w:p>
        </w:tc>
        <w:tc>
          <w:tcPr>
            <w:tcW w:w="1276" w:type="dxa"/>
          </w:tcPr>
          <w:p w:rsidR="00D95D3C" w:rsidRPr="00D95D3C" w:rsidRDefault="00D95D3C" w:rsidP="00D95D3C">
            <w:pPr>
              <w:rPr>
                <w:rFonts w:ascii="Calibri" w:eastAsia="Calibri" w:hAnsi="Calibri" w:cs="Arial"/>
              </w:rPr>
            </w:pPr>
            <w:r w:rsidRPr="00D95D3C">
              <w:rPr>
                <w:rFonts w:ascii="Calibri" w:eastAsia="Calibri" w:hAnsi="Calibri" w:cs="Arial"/>
              </w:rPr>
              <w:t>518516.781</w:t>
            </w:r>
          </w:p>
        </w:tc>
        <w:tc>
          <w:tcPr>
            <w:tcW w:w="1266" w:type="dxa"/>
          </w:tcPr>
          <w:p w:rsidR="00D95D3C" w:rsidRPr="00D95D3C" w:rsidRDefault="00D95D3C" w:rsidP="00D95D3C">
            <w:pPr>
              <w:jc w:val="center"/>
              <w:rPr>
                <w:rFonts w:ascii="Calibri" w:eastAsia="Calibri" w:hAnsi="Calibri" w:cs="Arial"/>
              </w:rPr>
            </w:pPr>
            <w:r w:rsidRPr="00D95D3C">
              <w:rPr>
                <w:rFonts w:ascii="Calibri" w:eastAsia="Calibri" w:hAnsi="Calibri" w:cs="Arial"/>
              </w:rPr>
              <w:t>.000</w:t>
            </w:r>
          </w:p>
        </w:tc>
      </w:tr>
      <w:tr w:rsidR="00F40F07" w:rsidRPr="00D95D3C" w:rsidTr="00F40F07">
        <w:tc>
          <w:tcPr>
            <w:tcW w:w="1458" w:type="dxa"/>
            <w:vMerge/>
            <w:shd w:val="clear" w:color="auto" w:fill="A8D08D" w:themeFill="accent6" w:themeFillTint="99"/>
          </w:tcPr>
          <w:p w:rsidR="00D95D3C" w:rsidRPr="00D95D3C" w:rsidRDefault="00D95D3C" w:rsidP="00D95D3C">
            <w:pPr>
              <w:jc w:val="center"/>
              <w:rPr>
                <w:rFonts w:ascii="Calibri" w:eastAsia="Calibri" w:hAnsi="Calibri" w:cs="Arial"/>
              </w:rPr>
            </w:pPr>
          </w:p>
        </w:tc>
        <w:tc>
          <w:tcPr>
            <w:tcW w:w="2700" w:type="dxa"/>
          </w:tcPr>
          <w:p w:rsidR="00D95D3C" w:rsidRPr="00D95D3C" w:rsidRDefault="00D95D3C" w:rsidP="00D95D3C">
            <w:pPr>
              <w:rPr>
                <w:rFonts w:ascii="Calibri" w:eastAsia="Calibri" w:hAnsi="Calibri" w:cs="Arial"/>
              </w:rPr>
            </w:pPr>
            <w:r w:rsidRPr="00D95D3C">
              <w:rPr>
                <w:rFonts w:ascii="Calibri" w:eastAsia="Calibri" w:hAnsi="Calibri" w:cs="Arial"/>
              </w:rPr>
              <w:t>Based on Mean</w:t>
            </w:r>
          </w:p>
        </w:tc>
        <w:tc>
          <w:tcPr>
            <w:tcW w:w="1890" w:type="dxa"/>
          </w:tcPr>
          <w:p w:rsidR="00D95D3C" w:rsidRPr="00D95D3C" w:rsidRDefault="00D95D3C" w:rsidP="00D95D3C">
            <w:pPr>
              <w:rPr>
                <w:rFonts w:ascii="Calibri" w:eastAsia="Calibri" w:hAnsi="Calibri" w:cs="Arial"/>
              </w:rPr>
            </w:pPr>
            <w:r w:rsidRPr="00D95D3C">
              <w:rPr>
                <w:rFonts w:ascii="Calibri" w:eastAsia="Calibri" w:hAnsi="Calibri" w:cs="Arial"/>
              </w:rPr>
              <w:t>370.917</w:t>
            </w:r>
          </w:p>
        </w:tc>
        <w:tc>
          <w:tcPr>
            <w:tcW w:w="986" w:type="dxa"/>
          </w:tcPr>
          <w:p w:rsidR="00D95D3C" w:rsidRPr="00D95D3C" w:rsidRDefault="00D95D3C" w:rsidP="00D95D3C">
            <w:pPr>
              <w:rPr>
                <w:rFonts w:ascii="Calibri" w:eastAsia="Calibri" w:hAnsi="Calibri" w:cs="Arial"/>
              </w:rPr>
            </w:pPr>
            <w:r w:rsidRPr="00D95D3C">
              <w:rPr>
                <w:rFonts w:ascii="Calibri" w:eastAsia="Calibri" w:hAnsi="Calibri" w:cs="Arial"/>
              </w:rPr>
              <w:t>3</w:t>
            </w:r>
          </w:p>
        </w:tc>
        <w:tc>
          <w:tcPr>
            <w:tcW w:w="1276" w:type="dxa"/>
          </w:tcPr>
          <w:p w:rsidR="00D95D3C" w:rsidRPr="00D95D3C" w:rsidRDefault="00D95D3C" w:rsidP="00D95D3C">
            <w:pPr>
              <w:rPr>
                <w:rFonts w:ascii="Calibri" w:eastAsia="Calibri" w:hAnsi="Calibri" w:cs="Arial"/>
              </w:rPr>
            </w:pPr>
            <w:r w:rsidRPr="00D95D3C">
              <w:rPr>
                <w:rFonts w:ascii="Calibri" w:eastAsia="Calibri" w:hAnsi="Calibri" w:cs="Arial"/>
              </w:rPr>
              <w:t>526096</w:t>
            </w:r>
          </w:p>
        </w:tc>
        <w:tc>
          <w:tcPr>
            <w:tcW w:w="1266" w:type="dxa"/>
          </w:tcPr>
          <w:p w:rsidR="00D95D3C" w:rsidRPr="00D95D3C" w:rsidRDefault="00D95D3C" w:rsidP="00D95D3C">
            <w:pPr>
              <w:jc w:val="center"/>
              <w:rPr>
                <w:rFonts w:ascii="Calibri" w:eastAsia="Calibri" w:hAnsi="Calibri" w:cs="Arial"/>
              </w:rPr>
            </w:pPr>
            <w:r w:rsidRPr="00D95D3C">
              <w:rPr>
                <w:rFonts w:ascii="Calibri" w:eastAsia="Calibri" w:hAnsi="Calibri" w:cs="Arial"/>
              </w:rPr>
              <w:t>.000</w:t>
            </w:r>
          </w:p>
        </w:tc>
      </w:tr>
    </w:tbl>
    <w:p w:rsidR="00E92B38" w:rsidRPr="00F1665C" w:rsidRDefault="00A91B8E" w:rsidP="00897AB5">
      <w:pPr>
        <w:spacing w:line="360" w:lineRule="auto"/>
        <w:ind w:firstLine="720"/>
        <w:jc w:val="both"/>
        <w:rPr>
          <w:rFonts w:asciiTheme="majorBidi" w:hAnsiTheme="majorBidi" w:cstheme="majorBidi"/>
          <w:b/>
          <w:bCs/>
          <w:sz w:val="28"/>
          <w:szCs w:val="28"/>
        </w:rPr>
      </w:pPr>
      <w:r w:rsidRPr="00F1665C">
        <w:rPr>
          <w:rFonts w:asciiTheme="majorBidi" w:hAnsiTheme="majorBidi" w:cstheme="majorBidi"/>
          <w:b/>
          <w:bCs/>
          <w:sz w:val="28"/>
          <w:szCs w:val="28"/>
        </w:rPr>
        <w:t xml:space="preserve">Table </w:t>
      </w:r>
      <w:r w:rsidR="00897AB5">
        <w:rPr>
          <w:rFonts w:asciiTheme="majorBidi" w:hAnsiTheme="majorBidi" w:cstheme="majorBidi"/>
          <w:b/>
          <w:bCs/>
          <w:sz w:val="28"/>
          <w:szCs w:val="28"/>
        </w:rPr>
        <w:t>3</w:t>
      </w:r>
      <w:r w:rsidRPr="00F1665C">
        <w:rPr>
          <w:rFonts w:asciiTheme="majorBidi" w:hAnsiTheme="majorBidi" w:cstheme="majorBidi"/>
          <w:b/>
          <w:bCs/>
          <w:sz w:val="28"/>
          <w:szCs w:val="28"/>
        </w:rPr>
        <w:t>:</w:t>
      </w:r>
      <w:r w:rsidRPr="00F1665C">
        <w:rPr>
          <w:b/>
          <w:bCs/>
        </w:rPr>
        <w:t xml:space="preserve"> </w:t>
      </w:r>
      <w:r w:rsidRPr="00F1665C">
        <w:rPr>
          <w:rFonts w:asciiTheme="majorBidi" w:hAnsiTheme="majorBidi" w:cstheme="majorBidi"/>
          <w:b/>
          <w:bCs/>
          <w:sz w:val="28"/>
          <w:szCs w:val="28"/>
        </w:rPr>
        <w:t>Test of Homogeneity of Variances for ICT resources (WLEs)</w:t>
      </w:r>
    </w:p>
    <w:p w:rsidR="00077C52" w:rsidRPr="00D9300D" w:rsidRDefault="00D1010E" w:rsidP="00693919">
      <w:pPr>
        <w:spacing w:line="360" w:lineRule="auto"/>
        <w:rPr>
          <w:rFonts w:asciiTheme="majorBidi" w:hAnsiTheme="majorBidi" w:cstheme="majorBidi"/>
          <w:sz w:val="28"/>
          <w:szCs w:val="28"/>
        </w:rPr>
      </w:pPr>
      <w:r>
        <w:rPr>
          <w:rFonts w:asciiTheme="majorBidi" w:hAnsiTheme="majorBidi" w:cstheme="majorBidi"/>
          <w:sz w:val="28"/>
          <w:szCs w:val="28"/>
        </w:rPr>
        <w:t xml:space="preserve">     </w:t>
      </w:r>
      <w:r w:rsidRPr="00D1010E">
        <w:rPr>
          <w:rFonts w:asciiTheme="majorBidi" w:hAnsiTheme="majorBidi" w:cstheme="majorBidi"/>
          <w:sz w:val="28"/>
          <w:szCs w:val="28"/>
        </w:rPr>
        <w:t>Table 4 shows that</w:t>
      </w:r>
      <w:r w:rsidR="00693919">
        <w:rPr>
          <w:rFonts w:asciiTheme="majorBidi" w:hAnsiTheme="majorBidi" w:cstheme="majorBidi"/>
          <w:sz w:val="28"/>
          <w:szCs w:val="28"/>
        </w:rPr>
        <w:t xml:space="preserve"> </w:t>
      </w:r>
      <w:r w:rsidR="00D9300D" w:rsidRPr="00D9300D">
        <w:rPr>
          <w:rFonts w:asciiTheme="majorBidi" w:hAnsiTheme="majorBidi" w:cstheme="majorBidi"/>
          <w:sz w:val="28"/>
          <w:szCs w:val="28"/>
        </w:rPr>
        <w:t xml:space="preserve">F(3,526096)=370.917 ,p=0.00 ,p is </w:t>
      </w:r>
      <w:proofErr w:type="spellStart"/>
      <w:r w:rsidR="00D9300D" w:rsidRPr="00D9300D">
        <w:rPr>
          <w:rFonts w:asciiTheme="majorBidi" w:hAnsiTheme="majorBidi" w:cstheme="majorBidi"/>
          <w:sz w:val="28"/>
          <w:szCs w:val="28"/>
        </w:rPr>
        <w:t>les</w:t>
      </w:r>
      <w:proofErr w:type="spellEnd"/>
      <w:r w:rsidR="00D9300D" w:rsidRPr="00D9300D">
        <w:rPr>
          <w:rFonts w:asciiTheme="majorBidi" w:hAnsiTheme="majorBidi" w:cstheme="majorBidi"/>
          <w:sz w:val="28"/>
          <w:szCs w:val="28"/>
        </w:rPr>
        <w:t xml:space="preserve"> than 0.05 that is the mean values are significantly hypotheses , so the hypotheses is rejected .</w:t>
      </w:r>
    </w:p>
    <w:p w:rsidR="00986515" w:rsidRDefault="00986515" w:rsidP="00986515">
      <w:pPr>
        <w:autoSpaceDE w:val="0"/>
        <w:autoSpaceDN w:val="0"/>
        <w:adjustRightInd w:val="0"/>
        <w:spacing w:after="0" w:line="240" w:lineRule="auto"/>
        <w:rPr>
          <w:rFonts w:ascii="Times New Roman" w:hAnsi="Times New Roman" w:cs="Times New Roman"/>
          <w:sz w:val="24"/>
          <w:szCs w:val="24"/>
        </w:rPr>
      </w:pPr>
    </w:p>
    <w:p w:rsidR="00693919" w:rsidRDefault="00693919" w:rsidP="00986515">
      <w:pPr>
        <w:autoSpaceDE w:val="0"/>
        <w:autoSpaceDN w:val="0"/>
        <w:adjustRightInd w:val="0"/>
        <w:spacing w:after="0" w:line="240" w:lineRule="auto"/>
        <w:rPr>
          <w:rFonts w:ascii="Times New Roman" w:hAnsi="Times New Roman" w:cs="Times New Roman"/>
          <w:sz w:val="24"/>
          <w:szCs w:val="24"/>
        </w:rPr>
      </w:pPr>
    </w:p>
    <w:p w:rsidR="00986515" w:rsidRDefault="00C62787" w:rsidP="00DD5E40">
      <w:pPr>
        <w:autoSpaceDE w:val="0"/>
        <w:autoSpaceDN w:val="0"/>
        <w:adjustRightInd w:val="0"/>
        <w:spacing w:after="0" w:line="240" w:lineRule="auto"/>
        <w:rPr>
          <w:rFonts w:ascii="Times New Roman" w:hAnsi="Times New Roman" w:cs="Times New Roman"/>
          <w:sz w:val="24"/>
          <w:szCs w:val="24"/>
        </w:rPr>
      </w:pPr>
      <w:r>
        <w:rPr>
          <w:noProof/>
        </w:rPr>
        <w:drawing>
          <wp:inline distT="0" distB="0" distL="0" distR="0" wp14:anchorId="65B6A0A9" wp14:editId="2A3E52C8">
            <wp:extent cx="4572000" cy="2362200"/>
            <wp:effectExtent l="0" t="0" r="19050" b="1905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86515" w:rsidRPr="00433F99" w:rsidRDefault="00986515" w:rsidP="005473C1">
      <w:pPr>
        <w:spacing w:line="360" w:lineRule="auto"/>
        <w:jc w:val="center"/>
        <w:rPr>
          <w:rFonts w:asciiTheme="majorBidi" w:hAnsiTheme="majorBidi" w:cstheme="majorBidi"/>
          <w:b/>
          <w:bCs/>
          <w:sz w:val="28"/>
          <w:szCs w:val="28"/>
        </w:rPr>
      </w:pPr>
    </w:p>
    <w:p w:rsidR="00077C52" w:rsidRPr="005473C1" w:rsidRDefault="00077C52" w:rsidP="00DD5E40">
      <w:pPr>
        <w:spacing w:line="360" w:lineRule="auto"/>
        <w:jc w:val="center"/>
        <w:rPr>
          <w:rFonts w:asciiTheme="majorBidi" w:hAnsiTheme="majorBidi" w:cstheme="majorBidi"/>
          <w:b/>
          <w:bCs/>
          <w:sz w:val="24"/>
          <w:szCs w:val="24"/>
        </w:rPr>
      </w:pPr>
    </w:p>
    <w:tbl>
      <w:tblPr>
        <w:tblStyle w:val="a4"/>
        <w:tblW w:w="0" w:type="auto"/>
        <w:tblLook w:val="04A0" w:firstRow="1" w:lastRow="0" w:firstColumn="1" w:lastColumn="0" w:noHBand="0" w:noVBand="1"/>
      </w:tblPr>
      <w:tblGrid>
        <w:gridCol w:w="1985"/>
        <w:gridCol w:w="2386"/>
        <w:gridCol w:w="1845"/>
        <w:gridCol w:w="1836"/>
        <w:gridCol w:w="1524"/>
      </w:tblGrid>
      <w:tr w:rsidR="00E9221A" w:rsidRPr="00E9221A" w:rsidTr="00897AB5">
        <w:tc>
          <w:tcPr>
            <w:tcW w:w="1985" w:type="dxa"/>
            <w:vMerge w:val="restart"/>
            <w:shd w:val="clear" w:color="auto" w:fill="F4B083" w:themeFill="accent2" w:themeFillTint="99"/>
          </w:tcPr>
          <w:p w:rsidR="00E9221A" w:rsidRPr="00E9221A" w:rsidRDefault="00E9221A" w:rsidP="00E9221A">
            <w:pPr>
              <w:jc w:val="center"/>
              <w:rPr>
                <w:rFonts w:ascii="Calibri" w:eastAsia="Calibri" w:hAnsi="Calibri" w:cs="Arial"/>
              </w:rPr>
            </w:pPr>
            <w:r w:rsidRPr="00E9221A">
              <w:rPr>
                <w:rFonts w:ascii="Calibri" w:eastAsia="Calibri" w:hAnsi="Calibri" w:cs="Arial"/>
              </w:rPr>
              <w:t>ICT resources ( WLE)</w:t>
            </w:r>
          </w:p>
        </w:tc>
        <w:tc>
          <w:tcPr>
            <w:tcW w:w="2386" w:type="dxa"/>
            <w:shd w:val="clear" w:color="auto" w:fill="F4B083" w:themeFill="accent2" w:themeFillTint="99"/>
          </w:tcPr>
          <w:p w:rsidR="00E9221A" w:rsidRPr="00E9221A" w:rsidRDefault="00E9221A" w:rsidP="00E9221A">
            <w:pPr>
              <w:jc w:val="center"/>
              <w:rPr>
                <w:rFonts w:ascii="Calibri" w:eastAsia="Calibri" w:hAnsi="Calibri" w:cs="Arial"/>
              </w:rPr>
            </w:pPr>
            <w:r w:rsidRPr="00E9221A">
              <w:rPr>
                <w:rFonts w:ascii="Calibri" w:eastAsia="Calibri" w:hAnsi="Calibri" w:cs="Arial"/>
              </w:rPr>
              <w:t>Country identifier</w:t>
            </w:r>
          </w:p>
        </w:tc>
        <w:tc>
          <w:tcPr>
            <w:tcW w:w="1845" w:type="dxa"/>
            <w:shd w:val="clear" w:color="auto" w:fill="F4B083" w:themeFill="accent2" w:themeFillTint="99"/>
          </w:tcPr>
          <w:p w:rsidR="00E9221A" w:rsidRPr="00E9221A" w:rsidRDefault="00E9221A" w:rsidP="00E9221A">
            <w:pPr>
              <w:jc w:val="center"/>
              <w:rPr>
                <w:rFonts w:ascii="Calibri" w:eastAsia="Calibri" w:hAnsi="Calibri" w:cs="Arial"/>
              </w:rPr>
            </w:pPr>
            <w:r w:rsidRPr="00E9221A">
              <w:rPr>
                <w:rFonts w:ascii="Calibri" w:eastAsia="Calibri" w:hAnsi="Calibri" w:cs="Arial"/>
              </w:rPr>
              <w:t>statistic</w:t>
            </w:r>
          </w:p>
        </w:tc>
        <w:tc>
          <w:tcPr>
            <w:tcW w:w="1836" w:type="dxa"/>
            <w:shd w:val="clear" w:color="auto" w:fill="F4B083" w:themeFill="accent2" w:themeFillTint="99"/>
          </w:tcPr>
          <w:p w:rsidR="00E9221A" w:rsidRPr="00E9221A" w:rsidRDefault="00E9221A" w:rsidP="00E9221A">
            <w:pPr>
              <w:jc w:val="center"/>
              <w:rPr>
                <w:rFonts w:ascii="Calibri" w:eastAsia="Calibri" w:hAnsi="Calibri" w:cs="Arial"/>
              </w:rPr>
            </w:pPr>
            <w:proofErr w:type="spellStart"/>
            <w:r w:rsidRPr="00E9221A">
              <w:rPr>
                <w:rFonts w:ascii="Calibri" w:eastAsia="Calibri" w:hAnsi="Calibri" w:cs="Arial"/>
              </w:rPr>
              <w:t>df</w:t>
            </w:r>
            <w:proofErr w:type="spellEnd"/>
          </w:p>
        </w:tc>
        <w:tc>
          <w:tcPr>
            <w:tcW w:w="1524" w:type="dxa"/>
            <w:shd w:val="clear" w:color="auto" w:fill="F4B083" w:themeFill="accent2" w:themeFillTint="99"/>
          </w:tcPr>
          <w:p w:rsidR="00E9221A" w:rsidRPr="00E9221A" w:rsidRDefault="00E9221A" w:rsidP="00E9221A">
            <w:pPr>
              <w:jc w:val="center"/>
              <w:rPr>
                <w:rFonts w:ascii="Calibri" w:eastAsia="Calibri" w:hAnsi="Calibri" w:cs="Arial"/>
              </w:rPr>
            </w:pPr>
            <w:r w:rsidRPr="00E9221A">
              <w:rPr>
                <w:rFonts w:ascii="Calibri" w:eastAsia="Calibri" w:hAnsi="Calibri" w:cs="Arial"/>
              </w:rPr>
              <w:t>Sig</w:t>
            </w:r>
          </w:p>
        </w:tc>
      </w:tr>
      <w:tr w:rsidR="00E9221A" w:rsidRPr="00E9221A" w:rsidTr="00897AB5">
        <w:tc>
          <w:tcPr>
            <w:tcW w:w="1985" w:type="dxa"/>
            <w:vMerge/>
            <w:shd w:val="clear" w:color="auto" w:fill="A8D08D" w:themeFill="accent6" w:themeFillTint="99"/>
          </w:tcPr>
          <w:p w:rsidR="00E9221A" w:rsidRPr="00E9221A" w:rsidRDefault="00E9221A" w:rsidP="00E9221A">
            <w:pPr>
              <w:jc w:val="center"/>
              <w:rPr>
                <w:rFonts w:ascii="Calibri" w:eastAsia="Calibri" w:hAnsi="Calibri" w:cs="Arial"/>
              </w:rPr>
            </w:pPr>
          </w:p>
        </w:tc>
        <w:tc>
          <w:tcPr>
            <w:tcW w:w="238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Jordan</w:t>
            </w:r>
          </w:p>
        </w:tc>
        <w:tc>
          <w:tcPr>
            <w:tcW w:w="1845"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.040</w:t>
            </w:r>
          </w:p>
        </w:tc>
        <w:tc>
          <w:tcPr>
            <w:tcW w:w="183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113756</w:t>
            </w:r>
          </w:p>
        </w:tc>
        <w:tc>
          <w:tcPr>
            <w:tcW w:w="1524"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.000</w:t>
            </w:r>
          </w:p>
        </w:tc>
      </w:tr>
      <w:tr w:rsidR="00E9221A" w:rsidRPr="00E9221A" w:rsidTr="00897AB5">
        <w:tc>
          <w:tcPr>
            <w:tcW w:w="1985" w:type="dxa"/>
            <w:vMerge/>
            <w:shd w:val="clear" w:color="auto" w:fill="A8D08D" w:themeFill="accent6" w:themeFillTint="99"/>
          </w:tcPr>
          <w:p w:rsidR="00E9221A" w:rsidRPr="00E9221A" w:rsidRDefault="00E9221A" w:rsidP="00E9221A">
            <w:pPr>
              <w:jc w:val="center"/>
              <w:rPr>
                <w:rFonts w:ascii="Calibri" w:eastAsia="Calibri" w:hAnsi="Calibri" w:cs="Arial"/>
              </w:rPr>
            </w:pPr>
          </w:p>
        </w:tc>
        <w:tc>
          <w:tcPr>
            <w:tcW w:w="238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Qatar</w:t>
            </w:r>
          </w:p>
        </w:tc>
        <w:tc>
          <w:tcPr>
            <w:tcW w:w="1845"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.099</w:t>
            </w:r>
          </w:p>
        </w:tc>
        <w:tc>
          <w:tcPr>
            <w:tcW w:w="183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14734</w:t>
            </w:r>
          </w:p>
        </w:tc>
        <w:tc>
          <w:tcPr>
            <w:tcW w:w="1524"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.000</w:t>
            </w:r>
          </w:p>
        </w:tc>
      </w:tr>
      <w:tr w:rsidR="00E9221A" w:rsidRPr="00E9221A" w:rsidTr="00897AB5">
        <w:tc>
          <w:tcPr>
            <w:tcW w:w="1985" w:type="dxa"/>
            <w:vMerge/>
            <w:shd w:val="clear" w:color="auto" w:fill="A8D08D" w:themeFill="accent6" w:themeFillTint="99"/>
          </w:tcPr>
          <w:p w:rsidR="00E9221A" w:rsidRPr="00E9221A" w:rsidRDefault="00E9221A" w:rsidP="00E9221A">
            <w:pPr>
              <w:jc w:val="center"/>
              <w:rPr>
                <w:rFonts w:ascii="Calibri" w:eastAsia="Calibri" w:hAnsi="Calibri" w:cs="Arial"/>
              </w:rPr>
            </w:pPr>
          </w:p>
        </w:tc>
        <w:tc>
          <w:tcPr>
            <w:tcW w:w="238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Saudi Arabia</w:t>
            </w:r>
          </w:p>
        </w:tc>
        <w:tc>
          <w:tcPr>
            <w:tcW w:w="1845"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.056</w:t>
            </w:r>
          </w:p>
        </w:tc>
        <w:tc>
          <w:tcPr>
            <w:tcW w:w="183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345006</w:t>
            </w:r>
          </w:p>
        </w:tc>
        <w:tc>
          <w:tcPr>
            <w:tcW w:w="1524"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.000</w:t>
            </w:r>
          </w:p>
        </w:tc>
      </w:tr>
      <w:tr w:rsidR="00E9221A" w:rsidRPr="00E9221A" w:rsidTr="00897AB5">
        <w:tc>
          <w:tcPr>
            <w:tcW w:w="1985" w:type="dxa"/>
            <w:vMerge/>
            <w:shd w:val="clear" w:color="auto" w:fill="A8D08D" w:themeFill="accent6" w:themeFillTint="99"/>
          </w:tcPr>
          <w:p w:rsidR="00E9221A" w:rsidRPr="00E9221A" w:rsidRDefault="00E9221A" w:rsidP="00E9221A">
            <w:pPr>
              <w:jc w:val="center"/>
              <w:rPr>
                <w:rFonts w:ascii="Calibri" w:eastAsia="Calibri" w:hAnsi="Calibri" w:cs="Arial"/>
              </w:rPr>
            </w:pPr>
          </w:p>
        </w:tc>
        <w:tc>
          <w:tcPr>
            <w:tcW w:w="238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United Arab Emirates</w:t>
            </w:r>
          </w:p>
        </w:tc>
        <w:tc>
          <w:tcPr>
            <w:tcW w:w="1845"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.095</w:t>
            </w:r>
          </w:p>
        </w:tc>
        <w:tc>
          <w:tcPr>
            <w:tcW w:w="1836" w:type="dxa"/>
          </w:tcPr>
          <w:p w:rsidR="00E9221A" w:rsidRPr="00E9221A" w:rsidRDefault="00E9221A" w:rsidP="00E9221A">
            <w:pPr>
              <w:jc w:val="center"/>
              <w:rPr>
                <w:rFonts w:ascii="Calibri" w:eastAsia="Calibri" w:hAnsi="Calibri" w:cs="Arial"/>
              </w:rPr>
            </w:pPr>
            <w:r w:rsidRPr="00E9221A">
              <w:rPr>
                <w:rFonts w:ascii="Calibri" w:eastAsia="Calibri" w:hAnsi="Calibri" w:cs="Arial"/>
              </w:rPr>
              <w:t>52604</w:t>
            </w:r>
          </w:p>
        </w:tc>
        <w:tc>
          <w:tcPr>
            <w:tcW w:w="1524" w:type="dxa"/>
          </w:tcPr>
          <w:p w:rsidR="00E9221A" w:rsidRPr="00E9221A" w:rsidRDefault="00E9221A" w:rsidP="00E9221A">
            <w:pPr>
              <w:jc w:val="center"/>
              <w:rPr>
                <w:rFonts w:ascii="Calibri" w:eastAsia="Calibri" w:hAnsi="Calibri" w:cs="Arial"/>
              </w:rPr>
            </w:pPr>
            <w:r w:rsidRPr="00E9221A">
              <w:rPr>
                <w:rFonts w:ascii="Calibri" w:eastAsia="Calibri" w:hAnsi="Calibri" w:cs="Arial"/>
              </w:rPr>
              <w:t>.000</w:t>
            </w:r>
          </w:p>
        </w:tc>
      </w:tr>
    </w:tbl>
    <w:p w:rsidR="00077C52" w:rsidRPr="00433F99" w:rsidRDefault="00897AB5" w:rsidP="00897AB5">
      <w:pPr>
        <w:spacing w:line="360" w:lineRule="auto"/>
        <w:jc w:val="center"/>
        <w:rPr>
          <w:rFonts w:asciiTheme="majorBidi" w:hAnsiTheme="majorBidi" w:cstheme="majorBidi"/>
          <w:b/>
          <w:bCs/>
          <w:sz w:val="28"/>
          <w:szCs w:val="28"/>
        </w:rPr>
      </w:pPr>
      <w:r w:rsidRPr="00897AB5">
        <w:rPr>
          <w:rFonts w:asciiTheme="majorBidi" w:hAnsiTheme="majorBidi" w:cstheme="majorBidi"/>
          <w:b/>
          <w:bCs/>
          <w:sz w:val="28"/>
          <w:szCs w:val="28"/>
        </w:rPr>
        <w:t xml:space="preserve">Table </w:t>
      </w:r>
      <w:r>
        <w:rPr>
          <w:rFonts w:asciiTheme="majorBidi" w:hAnsiTheme="majorBidi" w:cstheme="majorBidi"/>
          <w:b/>
          <w:bCs/>
          <w:sz w:val="28"/>
          <w:szCs w:val="28"/>
        </w:rPr>
        <w:t>4</w:t>
      </w:r>
      <w:r w:rsidRPr="00897AB5">
        <w:rPr>
          <w:rFonts w:asciiTheme="majorBidi" w:hAnsiTheme="majorBidi" w:cstheme="majorBidi"/>
          <w:b/>
          <w:bCs/>
          <w:sz w:val="28"/>
          <w:szCs w:val="28"/>
        </w:rPr>
        <w:t xml:space="preserve">: Test of </w:t>
      </w:r>
      <w:r>
        <w:rPr>
          <w:rFonts w:asciiTheme="majorBidi" w:hAnsiTheme="majorBidi" w:cstheme="majorBidi"/>
          <w:b/>
          <w:bCs/>
          <w:sz w:val="28"/>
          <w:szCs w:val="28"/>
        </w:rPr>
        <w:t>Normality</w:t>
      </w:r>
      <w:r w:rsidRPr="00897AB5">
        <w:rPr>
          <w:rFonts w:asciiTheme="majorBidi" w:hAnsiTheme="majorBidi" w:cstheme="majorBidi"/>
          <w:b/>
          <w:bCs/>
          <w:sz w:val="28"/>
          <w:szCs w:val="28"/>
        </w:rPr>
        <w:t xml:space="preserve"> for ICT resources (WLEs)</w:t>
      </w:r>
    </w:p>
    <w:p w:rsidR="002F05BD" w:rsidRPr="00433F99" w:rsidRDefault="002F05BD" w:rsidP="00433F99">
      <w:pPr>
        <w:spacing w:line="360" w:lineRule="auto"/>
        <w:jc w:val="both"/>
        <w:rPr>
          <w:rFonts w:asciiTheme="majorBidi" w:hAnsiTheme="majorBidi" w:cstheme="majorBidi"/>
          <w:b/>
          <w:bCs/>
          <w:sz w:val="28"/>
          <w:szCs w:val="28"/>
        </w:rPr>
      </w:pPr>
      <w:r w:rsidRPr="00433F99">
        <w:rPr>
          <w:rFonts w:asciiTheme="majorBidi" w:hAnsiTheme="majorBidi" w:cstheme="majorBidi"/>
          <w:b/>
          <w:bCs/>
          <w:sz w:val="28"/>
          <w:szCs w:val="28"/>
        </w:rPr>
        <w:t>DISCUSSION</w:t>
      </w:r>
    </w:p>
    <w:p w:rsidR="007E6FAE" w:rsidRPr="007E6FAE" w:rsidRDefault="00D31BD5" w:rsidP="004017EE">
      <w:pPr>
        <w:spacing w:line="360" w:lineRule="auto"/>
        <w:ind w:firstLine="720"/>
        <w:rPr>
          <w:rFonts w:asciiTheme="majorBidi" w:hAnsiTheme="majorBidi" w:cstheme="majorBidi"/>
          <w:sz w:val="28"/>
          <w:szCs w:val="28"/>
        </w:rPr>
      </w:pPr>
      <w:r w:rsidRPr="00433F99">
        <w:rPr>
          <w:rFonts w:asciiTheme="majorBidi" w:hAnsiTheme="majorBidi" w:cstheme="majorBidi"/>
          <w:sz w:val="28"/>
          <w:szCs w:val="28"/>
        </w:rPr>
        <w:t xml:space="preserve">As noticed in the discussion, </w:t>
      </w:r>
      <w:r w:rsidR="007E6FAE" w:rsidRPr="007E6FAE">
        <w:rPr>
          <w:rFonts w:asciiTheme="majorBidi" w:hAnsiTheme="majorBidi" w:cstheme="majorBidi"/>
          <w:sz w:val="28"/>
          <w:szCs w:val="28"/>
        </w:rPr>
        <w:t xml:space="preserve">Levin's statistic value </w:t>
      </w:r>
      <w:r w:rsidR="00D176E9" w:rsidRPr="00D176E9">
        <w:rPr>
          <w:rFonts w:asciiTheme="majorBidi" w:hAnsiTheme="majorBidi" w:cstheme="majorBidi"/>
          <w:sz w:val="28"/>
          <w:szCs w:val="28"/>
        </w:rPr>
        <w:t>=370.917 ,</w:t>
      </w:r>
      <w:r w:rsidR="00D176E9" w:rsidRPr="007E6FAE">
        <w:rPr>
          <w:rFonts w:asciiTheme="majorBidi" w:hAnsiTheme="majorBidi" w:cstheme="majorBidi"/>
          <w:sz w:val="28"/>
          <w:szCs w:val="28"/>
        </w:rPr>
        <w:t xml:space="preserve"> </w:t>
      </w:r>
      <w:r w:rsidR="007E6FAE" w:rsidRPr="007E6FAE">
        <w:rPr>
          <w:rFonts w:asciiTheme="majorBidi" w:hAnsiTheme="majorBidi" w:cstheme="majorBidi"/>
          <w:sz w:val="28"/>
          <w:szCs w:val="28"/>
        </w:rPr>
        <w:t>, Sig. = 0.</w:t>
      </w:r>
      <w:r w:rsidR="004F1237">
        <w:rPr>
          <w:rFonts w:asciiTheme="majorBidi" w:hAnsiTheme="majorBidi" w:cstheme="majorBidi"/>
          <w:sz w:val="28"/>
          <w:szCs w:val="28"/>
        </w:rPr>
        <w:t>00</w:t>
      </w:r>
      <w:r w:rsidR="007E6FAE" w:rsidRPr="007E6FAE">
        <w:rPr>
          <w:rFonts w:asciiTheme="majorBidi" w:hAnsiTheme="majorBidi" w:cstheme="majorBidi"/>
          <w:sz w:val="28"/>
          <w:szCs w:val="28"/>
        </w:rPr>
        <w:t xml:space="preserve">. This indicates the </w:t>
      </w:r>
      <w:r w:rsidR="003770A3">
        <w:rPr>
          <w:rFonts w:asciiTheme="majorBidi" w:hAnsiTheme="majorBidi" w:cstheme="majorBidi"/>
          <w:sz w:val="28"/>
          <w:szCs w:val="28"/>
        </w:rPr>
        <w:t xml:space="preserve"> </w:t>
      </w:r>
      <w:proofErr w:type="spellStart"/>
      <w:r w:rsidR="003770A3">
        <w:rPr>
          <w:rFonts w:asciiTheme="majorBidi" w:hAnsiTheme="majorBidi" w:cstheme="majorBidi"/>
          <w:sz w:val="28"/>
          <w:szCs w:val="28"/>
        </w:rPr>
        <w:t>no</w:t>
      </w:r>
      <w:r w:rsidR="007E6FAE" w:rsidRPr="007E6FAE">
        <w:rPr>
          <w:rFonts w:asciiTheme="majorBidi" w:hAnsiTheme="majorBidi" w:cstheme="majorBidi"/>
          <w:sz w:val="28"/>
          <w:szCs w:val="28"/>
        </w:rPr>
        <w:t>homogeneity</w:t>
      </w:r>
      <w:proofErr w:type="spellEnd"/>
      <w:r w:rsidR="007E6FAE" w:rsidRPr="007E6FAE">
        <w:rPr>
          <w:rFonts w:asciiTheme="majorBidi" w:hAnsiTheme="majorBidi" w:cstheme="majorBidi"/>
          <w:sz w:val="28"/>
          <w:szCs w:val="28"/>
        </w:rPr>
        <w:t xml:space="preserve"> of </w:t>
      </w:r>
      <w:r w:rsidR="004F1237">
        <w:rPr>
          <w:rFonts w:asciiTheme="majorBidi" w:hAnsiTheme="majorBidi" w:cstheme="majorBidi"/>
          <w:sz w:val="28"/>
          <w:szCs w:val="28"/>
        </w:rPr>
        <w:t>ICT</w:t>
      </w:r>
      <w:r w:rsidR="00D176E9">
        <w:rPr>
          <w:rFonts w:asciiTheme="majorBidi" w:hAnsiTheme="majorBidi" w:cstheme="majorBidi"/>
          <w:sz w:val="28"/>
          <w:szCs w:val="28"/>
        </w:rPr>
        <w:t xml:space="preserve"> resources</w:t>
      </w:r>
      <w:r w:rsidR="004F1237">
        <w:rPr>
          <w:rFonts w:asciiTheme="majorBidi" w:hAnsiTheme="majorBidi" w:cstheme="majorBidi"/>
          <w:sz w:val="28"/>
          <w:szCs w:val="28"/>
        </w:rPr>
        <w:t xml:space="preserve"> in four countries</w:t>
      </w:r>
      <w:r w:rsidR="007E6FAE" w:rsidRPr="007E6FAE">
        <w:rPr>
          <w:rFonts w:asciiTheme="majorBidi" w:hAnsiTheme="majorBidi" w:cstheme="majorBidi"/>
          <w:sz w:val="28"/>
          <w:szCs w:val="28"/>
        </w:rPr>
        <w:t>.</w:t>
      </w:r>
    </w:p>
    <w:p w:rsidR="007E6FAE" w:rsidRPr="007E6FAE" w:rsidRDefault="007E6FAE" w:rsidP="00C343C3">
      <w:pPr>
        <w:spacing w:line="360" w:lineRule="auto"/>
        <w:ind w:firstLine="720"/>
        <w:rPr>
          <w:rFonts w:asciiTheme="majorBidi" w:hAnsiTheme="majorBidi" w:cstheme="majorBidi"/>
          <w:sz w:val="28"/>
          <w:szCs w:val="28"/>
          <w:rtl/>
          <w:lang w:bidi="ar-AE"/>
        </w:rPr>
      </w:pPr>
      <w:r w:rsidRPr="007E6FAE">
        <w:rPr>
          <w:rFonts w:asciiTheme="majorBidi" w:hAnsiTheme="majorBidi" w:cstheme="majorBidi"/>
          <w:sz w:val="28"/>
          <w:szCs w:val="28"/>
        </w:rPr>
        <w:t>F</w:t>
      </w:r>
      <w:r w:rsidR="000B598B">
        <w:rPr>
          <w:rFonts w:asciiTheme="majorBidi" w:hAnsiTheme="majorBidi" w:cstheme="majorBidi"/>
          <w:sz w:val="28"/>
          <w:szCs w:val="28"/>
        </w:rPr>
        <w:t>=</w:t>
      </w:r>
      <w:r w:rsidRPr="007E6FAE">
        <w:rPr>
          <w:rFonts w:asciiTheme="majorBidi" w:hAnsiTheme="majorBidi" w:cstheme="majorBidi"/>
          <w:sz w:val="28"/>
          <w:szCs w:val="28"/>
        </w:rPr>
        <w:t xml:space="preserve"> </w:t>
      </w:r>
      <w:r w:rsidR="000B598B" w:rsidRPr="000B598B">
        <w:rPr>
          <w:rFonts w:asciiTheme="majorBidi" w:hAnsiTheme="majorBidi" w:cstheme="majorBidi"/>
          <w:sz w:val="28"/>
          <w:szCs w:val="28"/>
        </w:rPr>
        <w:t>17697.634</w:t>
      </w:r>
      <w:r w:rsidRPr="007E6FAE">
        <w:rPr>
          <w:rFonts w:asciiTheme="majorBidi" w:hAnsiTheme="majorBidi" w:cstheme="majorBidi"/>
          <w:sz w:val="28"/>
          <w:szCs w:val="28"/>
        </w:rPr>
        <w:t>, Sig. = 0.0</w:t>
      </w:r>
      <w:r>
        <w:rPr>
          <w:rFonts w:asciiTheme="majorBidi" w:hAnsiTheme="majorBidi" w:cstheme="majorBidi"/>
          <w:sz w:val="28"/>
          <w:szCs w:val="28"/>
        </w:rPr>
        <w:t>0</w:t>
      </w:r>
      <w:r w:rsidRPr="007E6FAE">
        <w:rPr>
          <w:rFonts w:asciiTheme="majorBidi" w:hAnsiTheme="majorBidi" w:cstheme="majorBidi"/>
          <w:sz w:val="28"/>
          <w:szCs w:val="28"/>
        </w:rPr>
        <w:t xml:space="preserve">. Therefore, we reject the initial hypothesis, which states that there are no differences between the averages of the </w:t>
      </w:r>
      <w:r w:rsidR="00AE2191">
        <w:rPr>
          <w:rFonts w:asciiTheme="majorBidi" w:hAnsiTheme="majorBidi" w:cstheme="majorBidi"/>
          <w:sz w:val="28"/>
          <w:szCs w:val="28"/>
        </w:rPr>
        <w:t>four</w:t>
      </w:r>
      <w:r w:rsidRPr="007E6FAE">
        <w:rPr>
          <w:rFonts w:asciiTheme="majorBidi" w:hAnsiTheme="majorBidi" w:cstheme="majorBidi"/>
          <w:sz w:val="28"/>
          <w:szCs w:val="28"/>
        </w:rPr>
        <w:t xml:space="preserve"> </w:t>
      </w:r>
      <w:r w:rsidR="00AE2191">
        <w:rPr>
          <w:rFonts w:asciiTheme="majorBidi" w:hAnsiTheme="majorBidi" w:cstheme="majorBidi"/>
          <w:sz w:val="28"/>
          <w:szCs w:val="28"/>
        </w:rPr>
        <w:t>countries</w:t>
      </w:r>
      <w:r w:rsidRPr="007E6FAE">
        <w:rPr>
          <w:rFonts w:asciiTheme="majorBidi" w:hAnsiTheme="majorBidi" w:cstheme="majorBidi"/>
          <w:sz w:val="28"/>
          <w:szCs w:val="28"/>
        </w:rPr>
        <w:t xml:space="preserve"> </w:t>
      </w:r>
      <w:r w:rsidR="00AE2191">
        <w:rPr>
          <w:rFonts w:asciiTheme="majorBidi" w:hAnsiTheme="majorBidi" w:cstheme="majorBidi"/>
          <w:sz w:val="28"/>
          <w:szCs w:val="28"/>
        </w:rPr>
        <w:t>availability ICT</w:t>
      </w:r>
      <w:r w:rsidRPr="007E6FAE">
        <w:rPr>
          <w:rFonts w:asciiTheme="majorBidi" w:hAnsiTheme="majorBidi" w:cstheme="majorBidi"/>
          <w:sz w:val="28"/>
          <w:szCs w:val="28"/>
        </w:rPr>
        <w:t xml:space="preserve">, and we conclude that there is a difference between the different teaching methods, meaning that there is sufficient evidence that the averages of the different </w:t>
      </w:r>
      <w:r w:rsidR="00C343C3">
        <w:rPr>
          <w:rFonts w:asciiTheme="majorBidi" w:hAnsiTheme="majorBidi" w:cstheme="majorBidi"/>
          <w:sz w:val="28"/>
          <w:szCs w:val="28"/>
        </w:rPr>
        <w:t>ICT resources</w:t>
      </w:r>
      <w:r w:rsidRPr="007E6FAE">
        <w:rPr>
          <w:rFonts w:asciiTheme="majorBidi" w:hAnsiTheme="majorBidi" w:cstheme="majorBidi"/>
          <w:sz w:val="28"/>
          <w:szCs w:val="28"/>
        </w:rPr>
        <w:t xml:space="preserve"> are not all equal, using the level of significance</w:t>
      </w:r>
      <w:r w:rsidR="00C343C3">
        <w:rPr>
          <w:rFonts w:asciiTheme="majorBidi" w:hAnsiTheme="majorBidi" w:cstheme="majorBidi"/>
          <w:sz w:val="28"/>
          <w:szCs w:val="28"/>
        </w:rPr>
        <w:t xml:space="preserve"> a=0.05</w:t>
      </w:r>
    </w:p>
    <w:p w:rsidR="00C814C4" w:rsidRDefault="007E6FAE" w:rsidP="007E6FAE">
      <w:pPr>
        <w:spacing w:line="360" w:lineRule="auto"/>
        <w:ind w:firstLine="720"/>
        <w:jc w:val="both"/>
        <w:rPr>
          <w:rFonts w:asciiTheme="majorBidi" w:hAnsiTheme="majorBidi" w:cstheme="majorBidi"/>
          <w:sz w:val="28"/>
          <w:szCs w:val="28"/>
        </w:rPr>
      </w:pPr>
      <w:r w:rsidRPr="007E6FAE">
        <w:rPr>
          <w:rFonts w:asciiTheme="majorBidi" w:hAnsiTheme="majorBidi" w:cstheme="majorBidi"/>
          <w:sz w:val="28"/>
          <w:szCs w:val="28"/>
        </w:rPr>
        <w:lastRenderedPageBreak/>
        <w:t>When rejecting the null hypothesis which states that the averages are equal and accepting the alternative hypothesis that there are two or more unequal averages</w:t>
      </w:r>
      <w:r w:rsidR="00C814C4">
        <w:rPr>
          <w:rFonts w:asciiTheme="majorBidi" w:hAnsiTheme="majorBidi" w:cstheme="majorBidi"/>
          <w:sz w:val="28"/>
          <w:szCs w:val="28"/>
        </w:rPr>
        <w:t xml:space="preserve">. </w:t>
      </w:r>
    </w:p>
    <w:p w:rsidR="006234E1" w:rsidRPr="00433F99" w:rsidRDefault="00C814C4" w:rsidP="00C814C4">
      <w:pPr>
        <w:spacing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Conclusion </w:t>
      </w:r>
      <w:r w:rsidRPr="00C814C4">
        <w:rPr>
          <w:rFonts w:asciiTheme="majorBidi" w:hAnsiTheme="majorBidi" w:cstheme="majorBidi"/>
          <w:sz w:val="28"/>
          <w:szCs w:val="28"/>
        </w:rPr>
        <w:t>there</w:t>
      </w:r>
      <w:r>
        <w:rPr>
          <w:rFonts w:asciiTheme="majorBidi" w:hAnsiTheme="majorBidi" w:cstheme="majorBidi"/>
          <w:sz w:val="28"/>
          <w:szCs w:val="28"/>
        </w:rPr>
        <w:t xml:space="preserve"> was</w:t>
      </w:r>
      <w:r w:rsidRPr="00C814C4">
        <w:rPr>
          <w:rFonts w:asciiTheme="majorBidi" w:hAnsiTheme="majorBidi" w:cstheme="majorBidi"/>
          <w:sz w:val="28"/>
          <w:szCs w:val="28"/>
        </w:rPr>
        <w:t xml:space="preserve"> a difference the availability of ICT resources by 15-year old students in Qatar, Jorda</w:t>
      </w:r>
      <w:r>
        <w:rPr>
          <w:rFonts w:asciiTheme="majorBidi" w:hAnsiTheme="majorBidi" w:cstheme="majorBidi"/>
          <w:sz w:val="28"/>
          <w:szCs w:val="28"/>
        </w:rPr>
        <w:t>n, Saudi Arabia, and the UAE according to PISA 2018,</w:t>
      </w:r>
    </w:p>
    <w:p w:rsidR="005473C1" w:rsidRPr="00433F99" w:rsidRDefault="005473C1" w:rsidP="005473C1">
      <w:pPr>
        <w:spacing w:line="360" w:lineRule="auto"/>
        <w:ind w:firstLine="720"/>
        <w:jc w:val="both"/>
        <w:rPr>
          <w:rFonts w:asciiTheme="majorBidi" w:hAnsiTheme="majorBidi" w:cstheme="majorBidi"/>
          <w:sz w:val="28"/>
          <w:szCs w:val="28"/>
        </w:rPr>
      </w:pPr>
    </w:p>
    <w:p w:rsidR="00FA0F95" w:rsidRPr="00433F99" w:rsidRDefault="00FA0F95" w:rsidP="00433F99">
      <w:pPr>
        <w:spacing w:line="360" w:lineRule="auto"/>
        <w:jc w:val="both"/>
        <w:rPr>
          <w:rFonts w:asciiTheme="majorBidi" w:hAnsiTheme="majorBidi" w:cstheme="majorBidi"/>
          <w:b/>
          <w:bCs/>
          <w:sz w:val="28"/>
          <w:szCs w:val="28"/>
        </w:rPr>
      </w:pPr>
      <w:r w:rsidRPr="00433F99">
        <w:rPr>
          <w:rFonts w:asciiTheme="majorBidi" w:hAnsiTheme="majorBidi" w:cstheme="majorBidi"/>
          <w:b/>
          <w:bCs/>
          <w:sz w:val="28"/>
          <w:szCs w:val="28"/>
        </w:rPr>
        <w:t>REFERENCES</w:t>
      </w:r>
    </w:p>
    <w:p w:rsidR="008B6150" w:rsidRPr="008B5A06" w:rsidRDefault="008B6150" w:rsidP="008B5A06">
      <w:pPr>
        <w:spacing w:line="360" w:lineRule="auto"/>
        <w:ind w:left="567" w:hanging="567"/>
        <w:rPr>
          <w:rFonts w:asciiTheme="majorBidi" w:hAnsiTheme="majorBidi" w:cstheme="majorBidi"/>
          <w:color w:val="000000"/>
          <w:sz w:val="28"/>
          <w:szCs w:val="28"/>
        </w:rPr>
      </w:pPr>
      <w:r w:rsidRPr="008B5A06">
        <w:rPr>
          <w:rFonts w:asciiTheme="majorBidi" w:hAnsiTheme="majorBidi" w:cstheme="majorBidi"/>
          <w:color w:val="000000"/>
          <w:sz w:val="28"/>
          <w:szCs w:val="28"/>
        </w:rPr>
        <w:t>Noor-</w:t>
      </w:r>
      <w:proofErr w:type="spellStart"/>
      <w:r w:rsidRPr="008B5A06">
        <w:rPr>
          <w:rFonts w:asciiTheme="majorBidi" w:hAnsiTheme="majorBidi" w:cstheme="majorBidi"/>
          <w:color w:val="000000"/>
          <w:sz w:val="28"/>
          <w:szCs w:val="28"/>
        </w:rPr>
        <w:t>Ul</w:t>
      </w:r>
      <w:proofErr w:type="spellEnd"/>
      <w:r w:rsidRPr="008B5A06">
        <w:rPr>
          <w:rFonts w:asciiTheme="majorBidi" w:hAnsiTheme="majorBidi" w:cstheme="majorBidi"/>
          <w:color w:val="000000"/>
          <w:sz w:val="28"/>
          <w:szCs w:val="28"/>
        </w:rPr>
        <w:t xml:space="preserve">-Amin, S. (2013). "An effective use of </w:t>
      </w:r>
      <w:r w:rsidRPr="008B5A06">
        <w:rPr>
          <w:rFonts w:asciiTheme="majorBidi" w:hAnsiTheme="majorBidi" w:cstheme="majorBidi"/>
          <w:i/>
          <w:iCs/>
          <w:color w:val="000000"/>
          <w:sz w:val="28"/>
          <w:szCs w:val="28"/>
        </w:rPr>
        <w:t xml:space="preserve">ICT </w:t>
      </w:r>
      <w:r w:rsidRPr="008B5A06">
        <w:rPr>
          <w:rFonts w:asciiTheme="majorBidi" w:hAnsiTheme="majorBidi" w:cstheme="majorBidi"/>
          <w:color w:val="000000"/>
          <w:sz w:val="28"/>
          <w:szCs w:val="28"/>
        </w:rPr>
        <w:t>for educa</w:t>
      </w:r>
      <w:r w:rsidR="008B5A06">
        <w:rPr>
          <w:rFonts w:asciiTheme="majorBidi" w:hAnsiTheme="majorBidi" w:cstheme="majorBidi"/>
          <w:color w:val="000000"/>
          <w:sz w:val="28"/>
          <w:szCs w:val="28"/>
        </w:rPr>
        <w:t xml:space="preserve">tion and learning by drawing on </w:t>
      </w:r>
      <w:r w:rsidRPr="008B5A06">
        <w:rPr>
          <w:rFonts w:asciiTheme="majorBidi" w:hAnsiTheme="majorBidi" w:cstheme="majorBidi"/>
          <w:color w:val="000000"/>
          <w:sz w:val="28"/>
          <w:szCs w:val="28"/>
        </w:rPr>
        <w:t xml:space="preserve">worldwide knowledge, research and experience: </w:t>
      </w:r>
      <w:r w:rsidRPr="008B5A06">
        <w:rPr>
          <w:rFonts w:asciiTheme="majorBidi" w:hAnsiTheme="majorBidi" w:cstheme="majorBidi"/>
          <w:i/>
          <w:iCs/>
          <w:color w:val="000000"/>
          <w:sz w:val="28"/>
          <w:szCs w:val="28"/>
        </w:rPr>
        <w:t xml:space="preserve">ICT </w:t>
      </w:r>
      <w:r w:rsidRPr="008B5A06">
        <w:rPr>
          <w:rFonts w:asciiTheme="majorBidi" w:hAnsiTheme="majorBidi" w:cstheme="majorBidi"/>
          <w:color w:val="000000"/>
          <w:sz w:val="28"/>
          <w:szCs w:val="28"/>
        </w:rPr>
        <w:t>as</w:t>
      </w:r>
      <w:r w:rsidR="005473C1">
        <w:rPr>
          <w:rFonts w:asciiTheme="majorBidi" w:hAnsiTheme="majorBidi" w:cstheme="majorBidi"/>
          <w:color w:val="000000"/>
          <w:sz w:val="28"/>
          <w:szCs w:val="28"/>
        </w:rPr>
        <w:t xml:space="preserve"> a change agent for education". </w:t>
      </w:r>
      <w:r w:rsidRPr="008B5A06">
        <w:rPr>
          <w:rFonts w:asciiTheme="majorBidi" w:hAnsiTheme="majorBidi" w:cstheme="majorBidi"/>
          <w:i/>
          <w:iCs/>
          <w:color w:val="000000"/>
          <w:sz w:val="28"/>
          <w:szCs w:val="28"/>
        </w:rPr>
        <w:t xml:space="preserve">Scholarly Journal of Education, </w:t>
      </w:r>
      <w:r w:rsidRPr="008B5A06">
        <w:rPr>
          <w:rFonts w:asciiTheme="majorBidi" w:hAnsiTheme="majorBidi" w:cstheme="majorBidi"/>
          <w:color w:val="000000"/>
          <w:sz w:val="28"/>
          <w:szCs w:val="28"/>
        </w:rPr>
        <w:t>vol. 2, no.4, p.p38-54.</w:t>
      </w:r>
    </w:p>
    <w:p w:rsidR="008B6150" w:rsidRPr="008B5A06" w:rsidRDefault="008B6150" w:rsidP="008B5A06">
      <w:pPr>
        <w:spacing w:line="360" w:lineRule="auto"/>
        <w:ind w:left="567" w:hanging="567"/>
        <w:rPr>
          <w:rFonts w:asciiTheme="majorBidi" w:hAnsiTheme="majorBidi" w:cstheme="majorBidi"/>
          <w:i/>
          <w:iCs/>
          <w:color w:val="000000"/>
          <w:sz w:val="28"/>
          <w:szCs w:val="28"/>
        </w:rPr>
      </w:pPr>
      <w:proofErr w:type="spellStart"/>
      <w:r w:rsidRPr="008B5A06">
        <w:rPr>
          <w:rFonts w:asciiTheme="majorBidi" w:hAnsiTheme="majorBidi" w:cstheme="majorBidi"/>
          <w:color w:val="000000"/>
          <w:sz w:val="28"/>
          <w:szCs w:val="28"/>
        </w:rPr>
        <w:t>Brunk</w:t>
      </w:r>
      <w:proofErr w:type="spellEnd"/>
      <w:r w:rsidRPr="008B5A06">
        <w:rPr>
          <w:rFonts w:asciiTheme="majorBidi" w:hAnsiTheme="majorBidi" w:cstheme="majorBidi"/>
          <w:color w:val="000000"/>
          <w:sz w:val="28"/>
          <w:szCs w:val="28"/>
        </w:rPr>
        <w:t>, J. D. (2008). "Factors affecting the level of technolog</w:t>
      </w:r>
      <w:r w:rsidR="005473C1">
        <w:rPr>
          <w:rFonts w:asciiTheme="majorBidi" w:hAnsiTheme="majorBidi" w:cstheme="majorBidi"/>
          <w:color w:val="000000"/>
          <w:sz w:val="28"/>
          <w:szCs w:val="28"/>
        </w:rPr>
        <w:t xml:space="preserve">y implementation by teachers in </w:t>
      </w:r>
      <w:r w:rsidRPr="008B5A06">
        <w:rPr>
          <w:rFonts w:asciiTheme="majorBidi" w:hAnsiTheme="majorBidi" w:cstheme="majorBidi"/>
          <w:color w:val="000000"/>
          <w:sz w:val="28"/>
          <w:szCs w:val="28"/>
        </w:rPr>
        <w:t xml:space="preserve">elementary schools". 190. </w:t>
      </w:r>
      <w:r w:rsidRPr="008B5A06">
        <w:rPr>
          <w:rFonts w:asciiTheme="majorBidi" w:hAnsiTheme="majorBidi" w:cstheme="majorBidi"/>
          <w:i/>
          <w:iCs/>
          <w:color w:val="000000"/>
          <w:sz w:val="28"/>
          <w:szCs w:val="28"/>
        </w:rPr>
        <w:t>THE UNIVERSITY OF OKLAHOMA.</w:t>
      </w:r>
    </w:p>
    <w:p w:rsidR="008B6150" w:rsidRPr="008B5A06" w:rsidRDefault="008B6150" w:rsidP="008B5A06">
      <w:pPr>
        <w:spacing w:line="360" w:lineRule="auto"/>
        <w:ind w:left="567" w:hanging="567"/>
        <w:rPr>
          <w:rFonts w:asciiTheme="majorBidi" w:hAnsiTheme="majorBidi" w:cstheme="majorBidi"/>
          <w:color w:val="000000"/>
          <w:sz w:val="28"/>
          <w:szCs w:val="28"/>
        </w:rPr>
      </w:pPr>
      <w:r w:rsidRPr="008B5A06">
        <w:rPr>
          <w:rFonts w:asciiTheme="majorBidi" w:hAnsiTheme="majorBidi" w:cstheme="majorBidi"/>
          <w:color w:val="000000"/>
          <w:sz w:val="28"/>
          <w:szCs w:val="28"/>
        </w:rPr>
        <w:t>Lane, J. M. (2012). "Developing the vision: Preparing teachers t</w:t>
      </w:r>
      <w:r w:rsidR="005473C1">
        <w:rPr>
          <w:rFonts w:asciiTheme="majorBidi" w:hAnsiTheme="majorBidi" w:cstheme="majorBidi"/>
          <w:color w:val="000000"/>
          <w:sz w:val="28"/>
          <w:szCs w:val="28"/>
        </w:rPr>
        <w:t xml:space="preserve">o deliver a digital world-class </w:t>
      </w:r>
      <w:r w:rsidRPr="008B5A06">
        <w:rPr>
          <w:rFonts w:asciiTheme="majorBidi" w:hAnsiTheme="majorBidi" w:cstheme="majorBidi"/>
          <w:color w:val="000000"/>
          <w:sz w:val="28"/>
          <w:szCs w:val="28"/>
        </w:rPr>
        <w:t xml:space="preserve">education system". </w:t>
      </w:r>
      <w:r w:rsidRPr="008B5A06">
        <w:rPr>
          <w:rFonts w:asciiTheme="majorBidi" w:hAnsiTheme="majorBidi" w:cstheme="majorBidi"/>
          <w:i/>
          <w:iCs/>
          <w:color w:val="000000"/>
          <w:sz w:val="28"/>
          <w:szCs w:val="28"/>
        </w:rPr>
        <w:t>Australian Journal of Teacher Education</w:t>
      </w:r>
      <w:r w:rsidRPr="008B5A06">
        <w:rPr>
          <w:rFonts w:asciiTheme="majorBidi" w:hAnsiTheme="majorBidi" w:cstheme="majorBidi"/>
          <w:color w:val="000000"/>
          <w:sz w:val="28"/>
          <w:szCs w:val="28"/>
        </w:rPr>
        <w:t>, vol.37</w:t>
      </w:r>
      <w:r w:rsidRPr="008B5A06">
        <w:rPr>
          <w:rFonts w:asciiTheme="majorBidi" w:hAnsiTheme="majorBidi" w:cstheme="majorBidi"/>
          <w:b/>
          <w:bCs/>
          <w:color w:val="000000"/>
          <w:sz w:val="28"/>
          <w:szCs w:val="28"/>
        </w:rPr>
        <w:t xml:space="preserve">, </w:t>
      </w:r>
      <w:r w:rsidRPr="008B5A06">
        <w:rPr>
          <w:rFonts w:asciiTheme="majorBidi" w:hAnsiTheme="majorBidi" w:cstheme="majorBidi"/>
          <w:color w:val="000000"/>
          <w:sz w:val="28"/>
          <w:szCs w:val="28"/>
        </w:rPr>
        <w:t>no.4, pp.59-74.</w:t>
      </w:r>
    </w:p>
    <w:p w:rsidR="008B6150" w:rsidRPr="008B5A06" w:rsidRDefault="008B6150" w:rsidP="008B5A06">
      <w:pPr>
        <w:spacing w:line="360" w:lineRule="auto"/>
        <w:ind w:left="567" w:hanging="567"/>
        <w:rPr>
          <w:rFonts w:asciiTheme="majorBidi" w:hAnsiTheme="majorBidi" w:cstheme="majorBidi"/>
          <w:color w:val="000000"/>
          <w:sz w:val="28"/>
          <w:szCs w:val="28"/>
        </w:rPr>
      </w:pPr>
      <w:proofErr w:type="spellStart"/>
      <w:r w:rsidRPr="008B5A06">
        <w:rPr>
          <w:rFonts w:asciiTheme="majorBidi" w:hAnsiTheme="majorBidi" w:cstheme="majorBidi"/>
          <w:color w:val="000000"/>
          <w:sz w:val="28"/>
          <w:szCs w:val="28"/>
        </w:rPr>
        <w:t>Ssewanyana</w:t>
      </w:r>
      <w:proofErr w:type="spellEnd"/>
      <w:r w:rsidRPr="008B5A06">
        <w:rPr>
          <w:rFonts w:asciiTheme="majorBidi" w:hAnsiTheme="majorBidi" w:cstheme="majorBidi"/>
          <w:color w:val="000000"/>
          <w:sz w:val="28"/>
          <w:szCs w:val="28"/>
        </w:rPr>
        <w:t xml:space="preserve">, J. &amp; </w:t>
      </w:r>
      <w:proofErr w:type="spellStart"/>
      <w:r w:rsidRPr="008B5A06">
        <w:rPr>
          <w:rFonts w:asciiTheme="majorBidi" w:hAnsiTheme="majorBidi" w:cstheme="majorBidi"/>
          <w:color w:val="000000"/>
          <w:sz w:val="28"/>
          <w:szCs w:val="28"/>
        </w:rPr>
        <w:t>Busler</w:t>
      </w:r>
      <w:proofErr w:type="spellEnd"/>
      <w:r w:rsidRPr="008B5A06">
        <w:rPr>
          <w:rFonts w:asciiTheme="majorBidi" w:hAnsiTheme="majorBidi" w:cstheme="majorBidi"/>
          <w:color w:val="000000"/>
          <w:sz w:val="28"/>
          <w:szCs w:val="28"/>
        </w:rPr>
        <w:t>, M. (2007). "Adoption and usage of ICT i</w:t>
      </w:r>
      <w:r w:rsidR="005473C1">
        <w:rPr>
          <w:rFonts w:asciiTheme="majorBidi" w:hAnsiTheme="majorBidi" w:cstheme="majorBidi"/>
          <w:color w:val="000000"/>
          <w:sz w:val="28"/>
          <w:szCs w:val="28"/>
        </w:rPr>
        <w:t xml:space="preserve">n developing countries: case of </w:t>
      </w:r>
      <w:r w:rsidRPr="008B5A06">
        <w:rPr>
          <w:rFonts w:asciiTheme="majorBidi" w:hAnsiTheme="majorBidi" w:cstheme="majorBidi"/>
          <w:color w:val="000000"/>
          <w:sz w:val="28"/>
          <w:szCs w:val="28"/>
        </w:rPr>
        <w:t xml:space="preserve">Ugandan firms", </w:t>
      </w:r>
      <w:r w:rsidRPr="008B5A06">
        <w:rPr>
          <w:rFonts w:asciiTheme="majorBidi" w:hAnsiTheme="majorBidi" w:cstheme="majorBidi"/>
          <w:i/>
          <w:iCs/>
          <w:color w:val="000000"/>
          <w:sz w:val="28"/>
          <w:szCs w:val="28"/>
        </w:rPr>
        <w:t>International Journal of Education an</w:t>
      </w:r>
      <w:r w:rsidR="005473C1">
        <w:rPr>
          <w:rFonts w:asciiTheme="majorBidi" w:hAnsiTheme="majorBidi" w:cstheme="majorBidi"/>
          <w:i/>
          <w:iCs/>
          <w:color w:val="000000"/>
          <w:sz w:val="28"/>
          <w:szCs w:val="28"/>
        </w:rPr>
        <w:t xml:space="preserve">d Development Using Information </w:t>
      </w:r>
      <w:r w:rsidRPr="008B5A06">
        <w:rPr>
          <w:rFonts w:asciiTheme="majorBidi" w:hAnsiTheme="majorBidi" w:cstheme="majorBidi"/>
          <w:i/>
          <w:iCs/>
          <w:color w:val="000000"/>
          <w:sz w:val="28"/>
          <w:szCs w:val="28"/>
        </w:rPr>
        <w:t>and Communication Technology</w:t>
      </w:r>
      <w:r w:rsidRPr="008B5A06">
        <w:rPr>
          <w:rFonts w:asciiTheme="majorBidi" w:hAnsiTheme="majorBidi" w:cstheme="majorBidi"/>
          <w:color w:val="000000"/>
          <w:sz w:val="28"/>
          <w:szCs w:val="28"/>
        </w:rPr>
        <w:t>, vol. 3, no. 3, pp.49-59.</w:t>
      </w:r>
    </w:p>
    <w:p w:rsidR="008B6150" w:rsidRPr="008B5A06" w:rsidRDefault="008B6150" w:rsidP="008B5A06">
      <w:pPr>
        <w:spacing w:line="360" w:lineRule="auto"/>
        <w:ind w:left="567" w:hanging="567"/>
        <w:rPr>
          <w:rFonts w:asciiTheme="majorBidi" w:hAnsiTheme="majorBidi" w:cstheme="majorBidi"/>
          <w:color w:val="000000"/>
          <w:sz w:val="28"/>
          <w:szCs w:val="28"/>
        </w:rPr>
      </w:pPr>
      <w:proofErr w:type="spellStart"/>
      <w:r w:rsidRPr="008B5A06">
        <w:rPr>
          <w:rFonts w:asciiTheme="majorBidi" w:hAnsiTheme="majorBidi" w:cstheme="majorBidi"/>
          <w:color w:val="000000"/>
          <w:sz w:val="28"/>
          <w:szCs w:val="28"/>
        </w:rPr>
        <w:t>Tatweer</w:t>
      </w:r>
      <w:proofErr w:type="spellEnd"/>
      <w:r w:rsidRPr="008B5A06">
        <w:rPr>
          <w:rFonts w:asciiTheme="majorBidi" w:hAnsiTheme="majorBidi" w:cstheme="majorBidi"/>
          <w:color w:val="000000"/>
          <w:sz w:val="28"/>
          <w:szCs w:val="28"/>
        </w:rPr>
        <w:t xml:space="preserve">. (2015). "King Abdullah bin Abdul-Aziz public educational development project" </w:t>
      </w:r>
      <w:proofErr w:type="spellStart"/>
      <w:r w:rsidR="005473C1">
        <w:rPr>
          <w:rFonts w:asciiTheme="majorBidi" w:hAnsiTheme="majorBidi" w:cstheme="majorBidi"/>
          <w:i/>
          <w:iCs/>
          <w:color w:val="000000"/>
          <w:sz w:val="28"/>
          <w:szCs w:val="28"/>
        </w:rPr>
        <w:t>Tatweer</w:t>
      </w:r>
      <w:proofErr w:type="spellEnd"/>
      <w:r w:rsidR="005473C1">
        <w:rPr>
          <w:rFonts w:asciiTheme="majorBidi" w:hAnsiTheme="majorBidi" w:cstheme="majorBidi"/>
          <w:i/>
          <w:iCs/>
          <w:color w:val="000000"/>
          <w:sz w:val="28"/>
          <w:szCs w:val="28"/>
        </w:rPr>
        <w:t xml:space="preserve"> </w:t>
      </w:r>
      <w:r w:rsidRPr="008B5A06">
        <w:rPr>
          <w:rFonts w:asciiTheme="majorBidi" w:hAnsiTheme="majorBidi" w:cstheme="majorBidi"/>
          <w:i/>
          <w:iCs/>
          <w:color w:val="000000"/>
          <w:sz w:val="28"/>
          <w:szCs w:val="28"/>
        </w:rPr>
        <w:t>project</w:t>
      </w:r>
      <w:r w:rsidR="005473C1">
        <w:rPr>
          <w:rFonts w:asciiTheme="majorBidi" w:hAnsiTheme="majorBidi" w:cstheme="majorBidi"/>
          <w:color w:val="000000"/>
          <w:sz w:val="28"/>
          <w:szCs w:val="28"/>
        </w:rPr>
        <w:t xml:space="preserve">. Available from&lt; </w:t>
      </w:r>
      <w:r w:rsidRPr="008B5A06">
        <w:rPr>
          <w:rFonts w:asciiTheme="majorBidi" w:hAnsiTheme="majorBidi" w:cstheme="majorBidi"/>
          <w:color w:val="000000"/>
          <w:sz w:val="28"/>
          <w:szCs w:val="28"/>
        </w:rPr>
        <w:t>http://www.tatweer.edu.sa/content/aboutus &gt;. [12 Dec 2014].</w:t>
      </w:r>
    </w:p>
    <w:p w:rsidR="008B6150" w:rsidRPr="008B5A06" w:rsidRDefault="008B6150" w:rsidP="008B5A06">
      <w:pPr>
        <w:spacing w:line="360" w:lineRule="auto"/>
        <w:ind w:left="567" w:hanging="567"/>
        <w:rPr>
          <w:rFonts w:asciiTheme="majorBidi" w:hAnsiTheme="majorBidi" w:cstheme="majorBidi"/>
          <w:color w:val="000000"/>
          <w:sz w:val="28"/>
          <w:szCs w:val="28"/>
        </w:rPr>
      </w:pPr>
    </w:p>
    <w:sectPr w:rsidR="008B6150" w:rsidRPr="008B5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ahoma">
    <w:panose1 w:val="020B0604030504040204"/>
    <w:charset w:val="B2"/>
    <w:family w:val="swiss"/>
    <w:notTrueType/>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8401C"/>
    <w:multiLevelType w:val="hybridMultilevel"/>
    <w:tmpl w:val="DDB89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E464BD"/>
    <w:multiLevelType w:val="hybridMultilevel"/>
    <w:tmpl w:val="BA1C78B8"/>
    <w:lvl w:ilvl="0" w:tplc="7D0831A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3D"/>
    <w:rsid w:val="000233CE"/>
    <w:rsid w:val="00025EF0"/>
    <w:rsid w:val="00077C52"/>
    <w:rsid w:val="000866CC"/>
    <w:rsid w:val="00090D33"/>
    <w:rsid w:val="000915F5"/>
    <w:rsid w:val="000B598B"/>
    <w:rsid w:val="000E564B"/>
    <w:rsid w:val="001276F2"/>
    <w:rsid w:val="001447AC"/>
    <w:rsid w:val="001538B3"/>
    <w:rsid w:val="00157BB8"/>
    <w:rsid w:val="00186FEE"/>
    <w:rsid w:val="001A35B0"/>
    <w:rsid w:val="001B3AD9"/>
    <w:rsid w:val="001D1E70"/>
    <w:rsid w:val="001E137F"/>
    <w:rsid w:val="002030A4"/>
    <w:rsid w:val="00207399"/>
    <w:rsid w:val="0021704C"/>
    <w:rsid w:val="00220FF3"/>
    <w:rsid w:val="002270FD"/>
    <w:rsid w:val="002363F8"/>
    <w:rsid w:val="00243807"/>
    <w:rsid w:val="002458F7"/>
    <w:rsid w:val="002531C1"/>
    <w:rsid w:val="00280A81"/>
    <w:rsid w:val="002B35D9"/>
    <w:rsid w:val="002E33F4"/>
    <w:rsid w:val="002F05BD"/>
    <w:rsid w:val="00306FFE"/>
    <w:rsid w:val="003422D0"/>
    <w:rsid w:val="00357E3C"/>
    <w:rsid w:val="003621C4"/>
    <w:rsid w:val="00373281"/>
    <w:rsid w:val="003770A3"/>
    <w:rsid w:val="003C5ED4"/>
    <w:rsid w:val="003D43DA"/>
    <w:rsid w:val="003E2AD3"/>
    <w:rsid w:val="003F0EF0"/>
    <w:rsid w:val="003F54AF"/>
    <w:rsid w:val="004017EE"/>
    <w:rsid w:val="00431E37"/>
    <w:rsid w:val="00433F99"/>
    <w:rsid w:val="0047592E"/>
    <w:rsid w:val="00480024"/>
    <w:rsid w:val="004B65F5"/>
    <w:rsid w:val="004B7644"/>
    <w:rsid w:val="004C7379"/>
    <w:rsid w:val="004F1237"/>
    <w:rsid w:val="005473C1"/>
    <w:rsid w:val="00552AE0"/>
    <w:rsid w:val="0056350E"/>
    <w:rsid w:val="00575CEF"/>
    <w:rsid w:val="0058023D"/>
    <w:rsid w:val="00584FAF"/>
    <w:rsid w:val="005E41F3"/>
    <w:rsid w:val="005E59C3"/>
    <w:rsid w:val="006234E1"/>
    <w:rsid w:val="00664CE6"/>
    <w:rsid w:val="0067089E"/>
    <w:rsid w:val="006751ED"/>
    <w:rsid w:val="00693919"/>
    <w:rsid w:val="006973CA"/>
    <w:rsid w:val="006A7AD0"/>
    <w:rsid w:val="006E3AB4"/>
    <w:rsid w:val="00701167"/>
    <w:rsid w:val="00702C8E"/>
    <w:rsid w:val="007047C2"/>
    <w:rsid w:val="007153B7"/>
    <w:rsid w:val="0071747F"/>
    <w:rsid w:val="00717779"/>
    <w:rsid w:val="00786036"/>
    <w:rsid w:val="0079529E"/>
    <w:rsid w:val="007B243E"/>
    <w:rsid w:val="007C0132"/>
    <w:rsid w:val="007E6FAE"/>
    <w:rsid w:val="007E7577"/>
    <w:rsid w:val="007F0EB3"/>
    <w:rsid w:val="00803B6F"/>
    <w:rsid w:val="00823B03"/>
    <w:rsid w:val="00897AB5"/>
    <w:rsid w:val="008A3C4B"/>
    <w:rsid w:val="008B5A06"/>
    <w:rsid w:val="008B6150"/>
    <w:rsid w:val="008F2EAB"/>
    <w:rsid w:val="008F3BE4"/>
    <w:rsid w:val="00910352"/>
    <w:rsid w:val="00947B1C"/>
    <w:rsid w:val="00952944"/>
    <w:rsid w:val="00986515"/>
    <w:rsid w:val="009870C4"/>
    <w:rsid w:val="00991019"/>
    <w:rsid w:val="0099256C"/>
    <w:rsid w:val="009B7AF4"/>
    <w:rsid w:val="009F2BE9"/>
    <w:rsid w:val="00A04DDD"/>
    <w:rsid w:val="00A117B9"/>
    <w:rsid w:val="00A51076"/>
    <w:rsid w:val="00A55261"/>
    <w:rsid w:val="00A7686D"/>
    <w:rsid w:val="00A91B8E"/>
    <w:rsid w:val="00AA7FB3"/>
    <w:rsid w:val="00AB540E"/>
    <w:rsid w:val="00AC17ED"/>
    <w:rsid w:val="00AD4207"/>
    <w:rsid w:val="00AE052E"/>
    <w:rsid w:val="00AE2191"/>
    <w:rsid w:val="00AE61B5"/>
    <w:rsid w:val="00AF10AE"/>
    <w:rsid w:val="00AF4A05"/>
    <w:rsid w:val="00B11B11"/>
    <w:rsid w:val="00B56CDE"/>
    <w:rsid w:val="00B717E8"/>
    <w:rsid w:val="00B76070"/>
    <w:rsid w:val="00B83913"/>
    <w:rsid w:val="00BC1513"/>
    <w:rsid w:val="00BE21FC"/>
    <w:rsid w:val="00C21E6B"/>
    <w:rsid w:val="00C27088"/>
    <w:rsid w:val="00C343C3"/>
    <w:rsid w:val="00C45BF0"/>
    <w:rsid w:val="00C61227"/>
    <w:rsid w:val="00C62787"/>
    <w:rsid w:val="00C72079"/>
    <w:rsid w:val="00C744B4"/>
    <w:rsid w:val="00C814C4"/>
    <w:rsid w:val="00CD094E"/>
    <w:rsid w:val="00CE5192"/>
    <w:rsid w:val="00D00A0E"/>
    <w:rsid w:val="00D1010E"/>
    <w:rsid w:val="00D176E9"/>
    <w:rsid w:val="00D31BD5"/>
    <w:rsid w:val="00D441C3"/>
    <w:rsid w:val="00D51627"/>
    <w:rsid w:val="00D6780E"/>
    <w:rsid w:val="00D76C99"/>
    <w:rsid w:val="00D9300D"/>
    <w:rsid w:val="00D95D3C"/>
    <w:rsid w:val="00DD5E40"/>
    <w:rsid w:val="00DF1034"/>
    <w:rsid w:val="00E00449"/>
    <w:rsid w:val="00E01882"/>
    <w:rsid w:val="00E123E1"/>
    <w:rsid w:val="00E75CDE"/>
    <w:rsid w:val="00E9221A"/>
    <w:rsid w:val="00E92B38"/>
    <w:rsid w:val="00EE5A36"/>
    <w:rsid w:val="00F11EB2"/>
    <w:rsid w:val="00F1665C"/>
    <w:rsid w:val="00F16A6B"/>
    <w:rsid w:val="00F275E4"/>
    <w:rsid w:val="00F40F07"/>
    <w:rsid w:val="00FA0922"/>
    <w:rsid w:val="00FA0F95"/>
    <w:rsid w:val="00FC2A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575CEF"/>
    <w:rPr>
      <w:rFonts w:ascii="ArialMT" w:hAnsi="ArialMT" w:hint="default"/>
      <w:b w:val="0"/>
      <w:bCs w:val="0"/>
      <w:i w:val="0"/>
      <w:iCs w:val="0"/>
      <w:color w:val="000000"/>
      <w:sz w:val="20"/>
      <w:szCs w:val="20"/>
    </w:rPr>
  </w:style>
  <w:style w:type="character" w:customStyle="1" w:styleId="fontstyle21">
    <w:name w:val="fontstyle21"/>
    <w:basedOn w:val="a0"/>
    <w:rsid w:val="00E75CDE"/>
    <w:rPr>
      <w:rFonts w:ascii="Arial-BoldItalicMT" w:hAnsi="Arial-BoldItalicMT" w:hint="default"/>
      <w:b/>
      <w:bCs/>
      <w:i/>
      <w:iCs/>
      <w:color w:val="000000"/>
      <w:sz w:val="20"/>
      <w:szCs w:val="20"/>
    </w:rPr>
  </w:style>
  <w:style w:type="character" w:customStyle="1" w:styleId="fontstyle31">
    <w:name w:val="fontstyle31"/>
    <w:basedOn w:val="a0"/>
    <w:rsid w:val="00E75CDE"/>
    <w:rPr>
      <w:rFonts w:ascii="Arial-BoldMT" w:hAnsi="Arial-BoldMT" w:hint="default"/>
      <w:b/>
      <w:bCs/>
      <w:i w:val="0"/>
      <w:iCs w:val="0"/>
      <w:color w:val="000000"/>
      <w:sz w:val="20"/>
      <w:szCs w:val="20"/>
    </w:rPr>
  </w:style>
  <w:style w:type="paragraph" w:styleId="a3">
    <w:name w:val="List Paragraph"/>
    <w:basedOn w:val="a"/>
    <w:uiPriority w:val="34"/>
    <w:qFormat/>
    <w:rsid w:val="00AC17ED"/>
    <w:pPr>
      <w:ind w:left="720"/>
      <w:contextualSpacing/>
    </w:pPr>
  </w:style>
  <w:style w:type="table" w:styleId="a4">
    <w:name w:val="Table Grid"/>
    <w:basedOn w:val="a1"/>
    <w:uiPriority w:val="59"/>
    <w:rsid w:val="0030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D441C3"/>
    <w:rPr>
      <w:color w:val="0563C1" w:themeColor="hyperlink"/>
      <w:u w:val="single"/>
    </w:rPr>
  </w:style>
  <w:style w:type="paragraph" w:styleId="a5">
    <w:name w:val="Balloon Text"/>
    <w:basedOn w:val="a"/>
    <w:link w:val="Char"/>
    <w:uiPriority w:val="99"/>
    <w:semiHidden/>
    <w:unhideWhenUsed/>
    <w:rsid w:val="003E2AD3"/>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3E2A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575CEF"/>
    <w:rPr>
      <w:rFonts w:ascii="ArialMT" w:hAnsi="ArialMT" w:hint="default"/>
      <w:b w:val="0"/>
      <w:bCs w:val="0"/>
      <w:i w:val="0"/>
      <w:iCs w:val="0"/>
      <w:color w:val="000000"/>
      <w:sz w:val="20"/>
      <w:szCs w:val="20"/>
    </w:rPr>
  </w:style>
  <w:style w:type="character" w:customStyle="1" w:styleId="fontstyle21">
    <w:name w:val="fontstyle21"/>
    <w:basedOn w:val="a0"/>
    <w:rsid w:val="00E75CDE"/>
    <w:rPr>
      <w:rFonts w:ascii="Arial-BoldItalicMT" w:hAnsi="Arial-BoldItalicMT" w:hint="default"/>
      <w:b/>
      <w:bCs/>
      <w:i/>
      <w:iCs/>
      <w:color w:val="000000"/>
      <w:sz w:val="20"/>
      <w:szCs w:val="20"/>
    </w:rPr>
  </w:style>
  <w:style w:type="character" w:customStyle="1" w:styleId="fontstyle31">
    <w:name w:val="fontstyle31"/>
    <w:basedOn w:val="a0"/>
    <w:rsid w:val="00E75CDE"/>
    <w:rPr>
      <w:rFonts w:ascii="Arial-BoldMT" w:hAnsi="Arial-BoldMT" w:hint="default"/>
      <w:b/>
      <w:bCs/>
      <w:i w:val="0"/>
      <w:iCs w:val="0"/>
      <w:color w:val="000000"/>
      <w:sz w:val="20"/>
      <w:szCs w:val="20"/>
    </w:rPr>
  </w:style>
  <w:style w:type="paragraph" w:styleId="a3">
    <w:name w:val="List Paragraph"/>
    <w:basedOn w:val="a"/>
    <w:uiPriority w:val="34"/>
    <w:qFormat/>
    <w:rsid w:val="00AC17ED"/>
    <w:pPr>
      <w:ind w:left="720"/>
      <w:contextualSpacing/>
    </w:pPr>
  </w:style>
  <w:style w:type="table" w:styleId="a4">
    <w:name w:val="Table Grid"/>
    <w:basedOn w:val="a1"/>
    <w:uiPriority w:val="59"/>
    <w:rsid w:val="00306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D441C3"/>
    <w:rPr>
      <w:color w:val="0563C1" w:themeColor="hyperlink"/>
      <w:u w:val="single"/>
    </w:rPr>
  </w:style>
  <w:style w:type="paragraph" w:styleId="a5">
    <w:name w:val="Balloon Text"/>
    <w:basedOn w:val="a"/>
    <w:link w:val="Char"/>
    <w:uiPriority w:val="99"/>
    <w:semiHidden/>
    <w:unhideWhenUsed/>
    <w:rsid w:val="003E2AD3"/>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3E2A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0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view3D>
      <c:rotX val="15"/>
      <c:rotY val="20"/>
      <c:rAngAx val="0"/>
      <c:perspective val="30"/>
    </c:view3D>
    <c:floor>
      <c:thickness val="0"/>
    </c:floor>
    <c:sideWall>
      <c:thickness val="0"/>
    </c:sideWall>
    <c:backWall>
      <c:thickness val="0"/>
    </c:backWall>
    <c:plotArea>
      <c:layout/>
      <c:bar3DChart>
        <c:barDir val="bar"/>
        <c:grouping val="clustered"/>
        <c:varyColors val="0"/>
        <c:ser>
          <c:idx val="0"/>
          <c:order val="0"/>
          <c:tx>
            <c:strRef>
              <c:f>ورقة1!$M$61</c:f>
              <c:strCache>
                <c:ptCount val="1"/>
                <c:pt idx="0">
                  <c:v>Mean</c:v>
                </c:pt>
              </c:strCache>
            </c:strRef>
          </c:tx>
          <c:invertIfNegative val="0"/>
          <c:cat>
            <c:strRef>
              <c:f>ورقة1!$L$62:$L$65</c:f>
              <c:strCache>
                <c:ptCount val="4"/>
                <c:pt idx="0">
                  <c:v>Jordan</c:v>
                </c:pt>
                <c:pt idx="1">
                  <c:v>Qatar</c:v>
                </c:pt>
                <c:pt idx="2">
                  <c:v>Saudi Arabia</c:v>
                </c:pt>
                <c:pt idx="3">
                  <c:v>United Arab Emirates</c:v>
                </c:pt>
              </c:strCache>
            </c:strRef>
          </c:cat>
          <c:val>
            <c:numRef>
              <c:f>ورقة1!$M$62:$M$65</c:f>
              <c:numCache>
                <c:formatCode>General</c:formatCode>
                <c:ptCount val="4"/>
                <c:pt idx="0">
                  <c:v>-0.93040299999999998</c:v>
                </c:pt>
                <c:pt idx="1">
                  <c:v>0.23605999999999999</c:v>
                </c:pt>
                <c:pt idx="2">
                  <c:v>-0.33193</c:v>
                </c:pt>
                <c:pt idx="3">
                  <c:v>0.38800600000000002</c:v>
                </c:pt>
              </c:numCache>
            </c:numRef>
          </c:val>
        </c:ser>
        <c:dLbls>
          <c:showLegendKey val="0"/>
          <c:showVal val="0"/>
          <c:showCatName val="0"/>
          <c:showSerName val="0"/>
          <c:showPercent val="0"/>
          <c:showBubbleSize val="0"/>
        </c:dLbls>
        <c:gapWidth val="150"/>
        <c:shape val="cylinder"/>
        <c:axId val="148101760"/>
        <c:axId val="148103552"/>
        <c:axId val="0"/>
      </c:bar3DChart>
      <c:catAx>
        <c:axId val="148101760"/>
        <c:scaling>
          <c:orientation val="minMax"/>
        </c:scaling>
        <c:delete val="0"/>
        <c:axPos val="l"/>
        <c:majorTickMark val="out"/>
        <c:minorTickMark val="none"/>
        <c:tickLblPos val="nextTo"/>
        <c:crossAx val="148103552"/>
        <c:crosses val="autoZero"/>
        <c:auto val="1"/>
        <c:lblAlgn val="ctr"/>
        <c:lblOffset val="100"/>
        <c:noMultiLvlLbl val="0"/>
      </c:catAx>
      <c:valAx>
        <c:axId val="148103552"/>
        <c:scaling>
          <c:orientation val="minMax"/>
        </c:scaling>
        <c:delete val="0"/>
        <c:axPos val="b"/>
        <c:majorGridlines/>
        <c:numFmt formatCode="General" sourceLinked="1"/>
        <c:majorTickMark val="out"/>
        <c:minorTickMark val="none"/>
        <c:tickLblPos val="nextTo"/>
        <c:crossAx val="14810176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ورقة1!$L$4</c:f>
              <c:strCache>
                <c:ptCount val="1"/>
                <c:pt idx="0">
                  <c:v>Between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ورقة1!$M$4:$Q$4</c:f>
              <c:numCache>
                <c:formatCode>General</c:formatCode>
                <c:ptCount val="5"/>
                <c:pt idx="0">
                  <c:v>71855.842000000004</c:v>
                </c:pt>
                <c:pt idx="1">
                  <c:v>3</c:v>
                </c:pt>
                <c:pt idx="2">
                  <c:v>23951.947</c:v>
                </c:pt>
                <c:pt idx="3">
                  <c:v>17697.633999999998</c:v>
                </c:pt>
                <c:pt idx="4">
                  <c:v>0</c:v>
                </c:pt>
              </c:numCache>
            </c:numRef>
          </c:val>
        </c:ser>
        <c:ser>
          <c:idx val="1"/>
          <c:order val="1"/>
          <c:tx>
            <c:strRef>
              <c:f>ورقة1!$L$5</c:f>
              <c:strCache>
                <c:ptCount val="1"/>
                <c:pt idx="0">
                  <c:v>Within Groups</c:v>
                </c:pt>
              </c:strCache>
            </c:strRef>
          </c:tx>
          <c:invertIfNegative val="0"/>
          <c:cat>
            <c:strRef>
              <c:f>ورقة1!$M$3:$Q$3</c:f>
              <c:strCache>
                <c:ptCount val="5"/>
                <c:pt idx="0">
                  <c:v>Sum of Squares</c:v>
                </c:pt>
                <c:pt idx="1">
                  <c:v>df</c:v>
                </c:pt>
                <c:pt idx="2">
                  <c:v>Mean Square</c:v>
                </c:pt>
                <c:pt idx="3">
                  <c:v>F</c:v>
                </c:pt>
                <c:pt idx="4">
                  <c:v>Sig.</c:v>
                </c:pt>
              </c:strCache>
            </c:strRef>
          </c:cat>
          <c:val>
            <c:numRef>
              <c:f>ورقة1!$M$5:$Q$5</c:f>
              <c:numCache>
                <c:formatCode>General</c:formatCode>
                <c:ptCount val="5"/>
                <c:pt idx="0">
                  <c:v>712016.05599999998</c:v>
                </c:pt>
                <c:pt idx="1">
                  <c:v>526095</c:v>
                </c:pt>
                <c:pt idx="2">
                  <c:v>1.353</c:v>
                </c:pt>
              </c:numCache>
            </c:numRef>
          </c:val>
        </c:ser>
        <c:ser>
          <c:idx val="2"/>
          <c:order val="2"/>
          <c:tx>
            <c:strRef>
              <c:f>ورقة1!$L$6</c:f>
              <c:strCache>
                <c:ptCount val="1"/>
                <c:pt idx="0">
                  <c:v>Total</c:v>
                </c:pt>
              </c:strCache>
            </c:strRef>
          </c:tx>
          <c:invertIfNegative val="0"/>
          <c:cat>
            <c:strRef>
              <c:f>ورقة1!$M$3:$Q$3</c:f>
              <c:strCache>
                <c:ptCount val="5"/>
                <c:pt idx="0">
                  <c:v>Sum of Squares</c:v>
                </c:pt>
                <c:pt idx="1">
                  <c:v>df</c:v>
                </c:pt>
                <c:pt idx="2">
                  <c:v>Mean Square</c:v>
                </c:pt>
                <c:pt idx="3">
                  <c:v>F</c:v>
                </c:pt>
                <c:pt idx="4">
                  <c:v>Sig.</c:v>
                </c:pt>
              </c:strCache>
            </c:strRef>
          </c:cat>
          <c:val>
            <c:numRef>
              <c:f>ورقة1!$M$6:$Q$6</c:f>
              <c:numCache>
                <c:formatCode>General</c:formatCode>
                <c:ptCount val="5"/>
                <c:pt idx="0">
                  <c:v>783871.89899999998</c:v>
                </c:pt>
                <c:pt idx="1">
                  <c:v>526098</c:v>
                </c:pt>
              </c:numCache>
            </c:numRef>
          </c:val>
        </c:ser>
        <c:dLbls>
          <c:showLegendKey val="0"/>
          <c:showVal val="0"/>
          <c:showCatName val="0"/>
          <c:showSerName val="0"/>
          <c:showPercent val="0"/>
          <c:showBubbleSize val="0"/>
        </c:dLbls>
        <c:gapWidth val="150"/>
        <c:axId val="205297536"/>
        <c:axId val="205299072"/>
      </c:barChart>
      <c:catAx>
        <c:axId val="205297536"/>
        <c:scaling>
          <c:orientation val="minMax"/>
        </c:scaling>
        <c:delete val="0"/>
        <c:axPos val="b"/>
        <c:majorTickMark val="out"/>
        <c:minorTickMark val="none"/>
        <c:tickLblPos val="nextTo"/>
        <c:crossAx val="205299072"/>
        <c:crosses val="autoZero"/>
        <c:auto val="1"/>
        <c:lblAlgn val="ctr"/>
        <c:lblOffset val="100"/>
        <c:noMultiLvlLbl val="0"/>
      </c:catAx>
      <c:valAx>
        <c:axId val="205299072"/>
        <c:scaling>
          <c:orientation val="minMax"/>
        </c:scaling>
        <c:delete val="0"/>
        <c:axPos val="l"/>
        <c:majorGridlines/>
        <c:numFmt formatCode="General" sourceLinked="1"/>
        <c:majorTickMark val="out"/>
        <c:minorTickMark val="none"/>
        <c:tickLblPos val="nextTo"/>
        <c:crossAx val="2052975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2016</TotalTime>
  <Pages>5</Pages>
  <Words>850</Words>
  <Characters>4848</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Iyad Ismail</dc:creator>
  <cp:lastModifiedBy>user</cp:lastModifiedBy>
  <cp:revision>86</cp:revision>
  <dcterms:created xsi:type="dcterms:W3CDTF">2020-11-01T12:14:00Z</dcterms:created>
  <dcterms:modified xsi:type="dcterms:W3CDTF">2020-11-09T12:39:00Z</dcterms:modified>
</cp:coreProperties>
</file>